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D7E7B">
      <w:pPr>
        <w:rPr>
          <w:rFonts w:ascii="Times New Roman"/>
          <w:sz w:val="20"/>
        </w:rPr>
      </w:pPr>
    </w:p>
    <w:p w14:paraId="6441BA29">
      <w:pPr>
        <w:rPr>
          <w:rFonts w:ascii="Times New Roman"/>
          <w:sz w:val="20"/>
        </w:rPr>
      </w:pPr>
    </w:p>
    <w:p w14:paraId="2AFD4597">
      <w:pPr>
        <w:rPr>
          <w:rFonts w:ascii="Times New Roman"/>
          <w:sz w:val="20"/>
        </w:rPr>
      </w:pPr>
    </w:p>
    <w:p w14:paraId="27DC2DB4">
      <w:pPr>
        <w:tabs>
          <w:tab w:val="left" w:pos="6580"/>
          <w:tab w:val="left" w:pos="6780"/>
        </w:tabs>
        <w:autoSpaceDE/>
        <w:autoSpaceDN/>
        <w:snapToGrid w:val="0"/>
        <w:spacing w:line="360" w:lineRule="auto"/>
        <w:ind w:firstLine="837" w:firstLineChars="279"/>
        <w:jc w:val="both"/>
        <w:rPr>
          <w:rFonts w:hint="eastAsia" w:ascii="宋体" w:hAnsi="Times New Roman" w:eastAsia="宋体" w:cs="Times New Roman"/>
          <w:kern w:val="2"/>
          <w:sz w:val="30"/>
          <w:szCs w:val="30"/>
          <w:lang w:eastAsia="zh-CN"/>
        </w:rPr>
      </w:pPr>
    </w:p>
    <w:p w14:paraId="64EE25B3">
      <w:pPr>
        <w:tabs>
          <w:tab w:val="left" w:pos="6580"/>
          <w:tab w:val="left" w:pos="6780"/>
        </w:tabs>
        <w:autoSpaceDE/>
        <w:autoSpaceDN/>
        <w:snapToGrid w:val="0"/>
        <w:spacing w:line="360" w:lineRule="auto"/>
        <w:ind w:firstLine="837" w:firstLineChars="279"/>
        <w:jc w:val="both"/>
        <w:rPr>
          <w:rFonts w:hint="eastAsia" w:ascii="宋体" w:hAnsi="Times New Roman" w:eastAsia="宋体" w:cs="Times New Roman"/>
          <w:kern w:val="2"/>
          <w:sz w:val="30"/>
          <w:szCs w:val="30"/>
          <w:lang w:eastAsia="zh-CN"/>
        </w:rPr>
      </w:pPr>
    </w:p>
    <w:p w14:paraId="1387A076">
      <w:pPr>
        <w:tabs>
          <w:tab w:val="left" w:pos="6580"/>
          <w:tab w:val="left" w:pos="6780"/>
        </w:tabs>
        <w:autoSpaceDE/>
        <w:autoSpaceDN/>
        <w:snapToGrid w:val="0"/>
        <w:spacing w:line="360" w:lineRule="auto"/>
        <w:ind w:firstLine="1339" w:firstLineChars="279"/>
        <w:jc w:val="both"/>
        <w:rPr>
          <w:rFonts w:hint="eastAsia" w:ascii="宋体" w:hAnsi="Times New Roman" w:eastAsia="宋体" w:cs="Times New Roman"/>
          <w:kern w:val="2"/>
          <w:sz w:val="30"/>
          <w:szCs w:val="30"/>
          <w:lang w:eastAsia="zh-CN"/>
        </w:rPr>
      </w:pPr>
      <w:r>
        <w:rPr>
          <w:rFonts w:hint="eastAsia" w:ascii="黑体" w:eastAsia="黑体"/>
          <w:sz w:val="48"/>
          <w:szCs w:val="48"/>
        </w:rPr>
        <w:t>浙江省民用建筑</w:t>
      </w:r>
      <w:r>
        <w:rPr>
          <w:rFonts w:hint="eastAsia" w:ascii="黑体" w:eastAsia="黑体"/>
          <w:sz w:val="48"/>
          <w:szCs w:val="48"/>
          <w:lang w:eastAsia="zh-CN"/>
        </w:rPr>
        <w:t>绿色建筑自评表</w:t>
      </w:r>
    </w:p>
    <w:p w14:paraId="2D081761">
      <w:pPr>
        <w:tabs>
          <w:tab w:val="left" w:pos="6580"/>
          <w:tab w:val="left" w:pos="6780"/>
        </w:tabs>
        <w:autoSpaceDE/>
        <w:autoSpaceDN/>
        <w:snapToGrid w:val="0"/>
        <w:spacing w:line="360" w:lineRule="auto"/>
        <w:ind w:firstLine="837" w:firstLineChars="279"/>
        <w:jc w:val="both"/>
        <w:rPr>
          <w:rFonts w:hint="eastAsia" w:ascii="宋体" w:hAnsi="Times New Roman" w:eastAsia="宋体" w:cs="Times New Roman"/>
          <w:kern w:val="2"/>
          <w:sz w:val="30"/>
          <w:szCs w:val="30"/>
          <w:lang w:eastAsia="zh-CN"/>
        </w:rPr>
      </w:pPr>
    </w:p>
    <w:p w14:paraId="766F9C89">
      <w:pPr>
        <w:tabs>
          <w:tab w:val="left" w:pos="6580"/>
          <w:tab w:val="left" w:pos="6780"/>
        </w:tabs>
        <w:autoSpaceDE/>
        <w:autoSpaceDN/>
        <w:snapToGrid w:val="0"/>
        <w:spacing w:line="360" w:lineRule="auto"/>
        <w:ind w:firstLine="837" w:firstLineChars="279"/>
        <w:jc w:val="both"/>
        <w:rPr>
          <w:rFonts w:hint="eastAsia" w:ascii="宋体" w:hAnsi="Times New Roman" w:eastAsia="宋体" w:cs="Times New Roman"/>
          <w:kern w:val="2"/>
          <w:sz w:val="30"/>
          <w:szCs w:val="30"/>
          <w:lang w:eastAsia="zh-CN"/>
        </w:rPr>
      </w:pPr>
    </w:p>
    <w:p w14:paraId="4963D7CD">
      <w:pPr>
        <w:tabs>
          <w:tab w:val="left" w:pos="6580"/>
          <w:tab w:val="left" w:pos="6780"/>
        </w:tabs>
        <w:autoSpaceDE/>
        <w:autoSpaceDN/>
        <w:snapToGrid w:val="0"/>
        <w:spacing w:line="360" w:lineRule="auto"/>
        <w:ind w:firstLine="837" w:firstLineChars="279"/>
        <w:jc w:val="both"/>
        <w:rPr>
          <w:rFonts w:hint="eastAsia" w:ascii="宋体" w:hAnsi="Times New Roman" w:eastAsia="宋体" w:cs="Times New Roman"/>
          <w:kern w:val="2"/>
          <w:sz w:val="30"/>
          <w:szCs w:val="30"/>
          <w:lang w:eastAsia="zh-CN"/>
        </w:rPr>
      </w:pPr>
    </w:p>
    <w:p w14:paraId="46E735BE">
      <w:pPr>
        <w:tabs>
          <w:tab w:val="left" w:pos="6580"/>
          <w:tab w:val="left" w:pos="6780"/>
        </w:tabs>
        <w:autoSpaceDE/>
        <w:autoSpaceDN/>
        <w:snapToGrid w:val="0"/>
        <w:spacing w:line="360" w:lineRule="auto"/>
        <w:ind w:firstLine="837" w:firstLineChars="279"/>
        <w:jc w:val="both"/>
        <w:rPr>
          <w:rFonts w:hint="eastAsia" w:ascii="宋体" w:hAnsi="Times New Roman" w:eastAsia="宋体" w:cs="Times New Roman"/>
          <w:kern w:val="2"/>
          <w:sz w:val="30"/>
          <w:szCs w:val="30"/>
          <w:lang w:eastAsia="zh-CN"/>
        </w:rPr>
      </w:pPr>
    </w:p>
    <w:p w14:paraId="0D6E1F24">
      <w:pPr>
        <w:tabs>
          <w:tab w:val="left" w:pos="6580"/>
          <w:tab w:val="left" w:pos="6780"/>
        </w:tabs>
        <w:autoSpaceDE/>
        <w:autoSpaceDN/>
        <w:snapToGrid w:val="0"/>
        <w:spacing w:line="360" w:lineRule="auto"/>
        <w:ind w:firstLine="837" w:firstLineChars="279"/>
        <w:jc w:val="both"/>
        <w:rPr>
          <w:rFonts w:hint="eastAsia" w:ascii="宋体" w:hAnsi="Times New Roman" w:eastAsia="宋体" w:cs="Times New Roman"/>
          <w:kern w:val="2"/>
          <w:sz w:val="30"/>
          <w:szCs w:val="30"/>
          <w:lang w:eastAsia="zh-CN"/>
        </w:rPr>
      </w:pPr>
    </w:p>
    <w:p w14:paraId="225FD4C0">
      <w:pPr>
        <w:tabs>
          <w:tab w:val="left" w:pos="6580"/>
          <w:tab w:val="left" w:pos="6780"/>
        </w:tabs>
        <w:autoSpaceDE/>
        <w:autoSpaceDN/>
        <w:snapToGrid w:val="0"/>
        <w:spacing w:line="360" w:lineRule="auto"/>
        <w:ind w:firstLine="837" w:firstLineChars="279"/>
        <w:jc w:val="both"/>
        <w:rPr>
          <w:rFonts w:hint="eastAsia" w:ascii="宋体" w:hAnsi="Times New Roman" w:eastAsia="宋体" w:cs="Times New Roman"/>
          <w:kern w:val="2"/>
          <w:sz w:val="30"/>
          <w:szCs w:val="30"/>
          <w:lang w:eastAsia="zh-CN"/>
        </w:rPr>
      </w:pPr>
    </w:p>
    <w:p w14:paraId="61335ED6">
      <w:pPr>
        <w:tabs>
          <w:tab w:val="left" w:pos="6580"/>
          <w:tab w:val="left" w:pos="6780"/>
        </w:tabs>
        <w:autoSpaceDE/>
        <w:autoSpaceDN/>
        <w:snapToGrid w:val="0"/>
        <w:spacing w:line="360" w:lineRule="auto"/>
        <w:ind w:firstLine="837" w:firstLineChars="279"/>
        <w:jc w:val="both"/>
        <w:rPr>
          <w:rFonts w:hint="eastAsia" w:ascii="宋体" w:hAnsi="Times New Roman" w:eastAsia="宋体" w:cs="Times New Roman"/>
          <w:kern w:val="2"/>
          <w:sz w:val="30"/>
          <w:szCs w:val="30"/>
          <w:lang w:eastAsia="zh-CN"/>
        </w:rPr>
      </w:pPr>
    </w:p>
    <w:p w14:paraId="658D6E42">
      <w:pPr>
        <w:tabs>
          <w:tab w:val="left" w:pos="6580"/>
          <w:tab w:val="left" w:pos="6780"/>
        </w:tabs>
        <w:autoSpaceDE/>
        <w:autoSpaceDN/>
        <w:snapToGrid w:val="0"/>
        <w:spacing w:line="360" w:lineRule="auto"/>
        <w:ind w:firstLine="837" w:firstLineChars="279"/>
        <w:jc w:val="both"/>
        <w:rPr>
          <w:rFonts w:hint="eastAsia" w:ascii="宋体" w:hAnsi="Times New Roman" w:eastAsia="宋体" w:cs="Times New Roman"/>
          <w:kern w:val="2"/>
          <w:sz w:val="30"/>
          <w:szCs w:val="30"/>
          <w:u w:val="single"/>
          <w:lang w:eastAsia="zh-CN"/>
        </w:rPr>
      </w:pPr>
      <w:r>
        <w:rPr>
          <w:rFonts w:hint="eastAsia" w:ascii="宋体" w:hAnsi="Times New Roman" w:eastAsia="宋体" w:cs="Times New Roman"/>
          <w:kern w:val="2"/>
          <w:sz w:val="30"/>
          <w:szCs w:val="30"/>
          <w:lang w:eastAsia="zh-CN"/>
        </w:rPr>
        <w:t xml:space="preserve">项 目 名 称 </w:t>
      </w:r>
      <w:r>
        <w:rPr>
          <w:rFonts w:hint="eastAsia" w:ascii="宋体" w:hAnsi="Times New Roman" w:eastAsia="宋体" w:cs="Times New Roman"/>
          <w:kern w:val="2"/>
          <w:sz w:val="30"/>
          <w:szCs w:val="30"/>
          <w:lang w:val="en-US" w:eastAsia="zh-CN"/>
        </w:rPr>
        <w:t xml:space="preserve">  </w:t>
      </w:r>
      <w:r>
        <w:rPr>
          <w:rFonts w:hint="eastAsia" w:ascii="宋体" w:hAnsi="Times New Roman" w:eastAsia="宋体" w:cs="Times New Roman"/>
          <w:kern w:val="2"/>
          <w:sz w:val="30"/>
          <w:szCs w:val="30"/>
          <w:u w:val="single"/>
          <w:lang w:val="en-US" w:eastAsia="zh-CN"/>
        </w:rPr>
        <w:t xml:space="preserve">                   </w:t>
      </w:r>
      <w:r>
        <w:rPr>
          <w:rFonts w:hint="eastAsia" w:ascii="宋体" w:hAnsi="Times New Roman" w:eastAsia="宋体" w:cs="Times New Roman"/>
          <w:kern w:val="2"/>
          <w:sz w:val="30"/>
          <w:szCs w:val="30"/>
          <w:u w:val="single"/>
          <w:lang w:eastAsia="zh-CN"/>
        </w:rPr>
        <w:t xml:space="preserve">       </w:t>
      </w:r>
    </w:p>
    <w:p w14:paraId="2FAB51A5">
      <w:pPr>
        <w:tabs>
          <w:tab w:val="left" w:pos="6580"/>
          <w:tab w:val="left" w:pos="6780"/>
        </w:tabs>
        <w:autoSpaceDE/>
        <w:autoSpaceDN/>
        <w:snapToGrid w:val="0"/>
        <w:spacing w:line="360" w:lineRule="auto"/>
        <w:ind w:firstLine="837" w:firstLineChars="279"/>
        <w:jc w:val="both"/>
        <w:rPr>
          <w:rFonts w:hint="default" w:ascii="宋体" w:hAnsi="Times New Roman" w:eastAsia="宋体" w:cs="Times New Roman"/>
          <w:kern w:val="2"/>
          <w:sz w:val="30"/>
          <w:szCs w:val="30"/>
          <w:lang w:val="en-US" w:eastAsia="zh-CN"/>
        </w:rPr>
      </w:pPr>
      <w:r>
        <w:rPr>
          <w:rFonts w:hint="eastAsia" w:ascii="宋体" w:hAnsi="Times New Roman" w:eastAsia="宋体" w:cs="Times New Roman"/>
          <w:kern w:val="2"/>
          <w:sz w:val="30"/>
          <w:szCs w:val="30"/>
          <w:lang w:eastAsia="zh-CN"/>
        </w:rPr>
        <w:t>建 设 单 位</w:t>
      </w:r>
      <w:r>
        <w:rPr>
          <w:rFonts w:hint="eastAsia" w:ascii="宋体" w:hAnsi="Times New Roman" w:eastAsia="宋体" w:cs="Times New Roman"/>
          <w:kern w:val="2"/>
          <w:sz w:val="30"/>
          <w:szCs w:val="30"/>
          <w:lang w:val="en-US" w:eastAsia="zh-CN"/>
        </w:rPr>
        <w:t xml:space="preserve"> </w:t>
      </w:r>
      <w:r>
        <w:rPr>
          <w:rFonts w:hint="eastAsia" w:ascii="宋体" w:hAnsi="Times New Roman" w:eastAsia="宋体" w:cs="Times New Roman"/>
          <w:kern w:val="2"/>
          <w:sz w:val="30"/>
          <w:szCs w:val="30"/>
          <w:u w:val="single"/>
          <w:lang w:val="en-US" w:eastAsia="zh-CN"/>
        </w:rPr>
        <w:t xml:space="preserve">              </w:t>
      </w:r>
      <w:r>
        <w:rPr>
          <w:rFonts w:hint="eastAsia" w:ascii="宋体"/>
          <w:sz w:val="30"/>
          <w:szCs w:val="30"/>
          <w:u w:val="single"/>
          <w:lang w:val="en-US" w:eastAsia="zh-CN"/>
        </w:rPr>
        <w:t xml:space="preserve"> </w:t>
      </w:r>
      <w:r>
        <w:rPr>
          <w:rFonts w:hint="eastAsia" w:ascii="宋体" w:hAnsi="Times New Roman" w:eastAsia="宋体" w:cs="Times New Roman"/>
          <w:kern w:val="2"/>
          <w:sz w:val="30"/>
          <w:szCs w:val="30"/>
          <w:u w:val="single"/>
          <w:lang w:val="en-US" w:eastAsia="zh-CN"/>
        </w:rPr>
        <w:t xml:space="preserve">           </w:t>
      </w:r>
      <w:r>
        <w:rPr>
          <w:rFonts w:hint="eastAsia" w:ascii="宋体" w:hAnsi="Times New Roman" w:eastAsia="宋体" w:cs="Times New Roman"/>
          <w:kern w:val="2"/>
          <w:sz w:val="30"/>
          <w:szCs w:val="30"/>
          <w:u w:val="single"/>
          <w:lang w:eastAsia="zh-CN"/>
        </w:rPr>
        <w:t xml:space="preserve"> </w:t>
      </w:r>
      <w:r>
        <w:rPr>
          <w:rFonts w:hint="eastAsia" w:ascii="宋体" w:hAnsi="Times New Roman" w:eastAsia="宋体" w:cs="Times New Roman"/>
          <w:kern w:val="2"/>
          <w:sz w:val="30"/>
          <w:szCs w:val="30"/>
          <w:u w:val="single"/>
          <w:lang w:val="en-US" w:eastAsia="zh-CN"/>
        </w:rPr>
        <w:t xml:space="preserve">   </w:t>
      </w:r>
    </w:p>
    <w:p w14:paraId="3DD74519">
      <w:pPr>
        <w:tabs>
          <w:tab w:val="left" w:pos="6580"/>
          <w:tab w:val="left" w:pos="6780"/>
        </w:tabs>
        <w:autoSpaceDE/>
        <w:autoSpaceDN/>
        <w:snapToGrid w:val="0"/>
        <w:spacing w:line="360" w:lineRule="auto"/>
        <w:ind w:firstLine="837" w:firstLineChars="279"/>
        <w:jc w:val="left"/>
        <w:rPr>
          <w:rFonts w:hint="eastAsia" w:ascii="宋体" w:hAnsi="Times New Roman" w:eastAsia="宋体" w:cs="Times New Roman"/>
          <w:kern w:val="2"/>
          <w:sz w:val="30"/>
          <w:szCs w:val="30"/>
          <w:lang w:eastAsia="zh-CN"/>
        </w:rPr>
      </w:pPr>
      <w:r>
        <w:rPr>
          <w:rFonts w:hint="eastAsia" w:ascii="宋体" w:hAnsi="Times New Roman" w:eastAsia="宋体" w:cs="Times New Roman"/>
          <w:kern w:val="2"/>
          <w:sz w:val="30"/>
          <w:szCs w:val="30"/>
          <w:lang w:eastAsia="zh-CN"/>
        </w:rPr>
        <w:t>设 计 单 位</w:t>
      </w:r>
      <w:r>
        <w:rPr>
          <w:rFonts w:hint="eastAsia" w:ascii="宋体" w:hAnsi="Times New Roman" w:eastAsia="宋体" w:cs="Times New Roman"/>
          <w:kern w:val="2"/>
          <w:sz w:val="30"/>
          <w:szCs w:val="30"/>
          <w:lang w:val="en-US" w:eastAsia="zh-CN"/>
        </w:rPr>
        <w:t xml:space="preserve"> </w:t>
      </w:r>
      <w:r>
        <w:rPr>
          <w:rFonts w:hint="eastAsia" w:ascii="宋体" w:hAnsi="Times New Roman" w:eastAsia="宋体" w:cs="Times New Roman"/>
          <w:kern w:val="2"/>
          <w:sz w:val="30"/>
          <w:szCs w:val="30"/>
          <w:u w:val="single"/>
          <w:lang w:val="en-US" w:eastAsia="zh-CN"/>
        </w:rPr>
        <w:t xml:space="preserve">                                  </w:t>
      </w:r>
      <w:r>
        <w:rPr>
          <w:rFonts w:hint="eastAsia" w:ascii="宋体" w:hAnsi="Times New Roman" w:eastAsia="宋体" w:cs="Times New Roman"/>
          <w:kern w:val="2"/>
          <w:sz w:val="30"/>
          <w:szCs w:val="30"/>
          <w:lang w:eastAsia="zh-CN"/>
        </w:rPr>
        <w:t>（盖章）</w:t>
      </w:r>
    </w:p>
    <w:p w14:paraId="66469F13">
      <w:pPr>
        <w:tabs>
          <w:tab w:val="left" w:pos="6580"/>
          <w:tab w:val="left" w:pos="6780"/>
        </w:tabs>
        <w:autoSpaceDE/>
        <w:autoSpaceDN/>
        <w:snapToGrid w:val="0"/>
        <w:spacing w:line="360" w:lineRule="auto"/>
        <w:ind w:firstLine="837" w:firstLineChars="279"/>
        <w:jc w:val="both"/>
        <w:rPr>
          <w:rFonts w:hint="default" w:ascii="宋体" w:hAnsi="Times New Roman" w:eastAsia="宋体" w:cs="Times New Roman"/>
          <w:kern w:val="2"/>
          <w:sz w:val="30"/>
          <w:szCs w:val="30"/>
          <w:lang w:val="en-US" w:eastAsia="zh-CN"/>
        </w:rPr>
      </w:pPr>
      <w:r>
        <w:rPr>
          <w:rFonts w:hint="eastAsia" w:ascii="宋体" w:hAnsi="Times New Roman" w:eastAsia="宋体" w:cs="Times New Roman"/>
          <w:kern w:val="2"/>
          <w:sz w:val="30"/>
          <w:szCs w:val="30"/>
          <w:lang w:eastAsia="zh-CN"/>
        </w:rPr>
        <w:t xml:space="preserve">填 表 时 间 </w:t>
      </w:r>
      <w:r>
        <w:rPr>
          <w:rFonts w:hint="eastAsia" w:ascii="宋体" w:hAnsi="Times New Roman" w:eastAsia="宋体" w:cs="Times New Roman"/>
          <w:kern w:val="2"/>
          <w:sz w:val="30"/>
          <w:szCs w:val="30"/>
          <w:u w:val="single"/>
          <w:lang w:eastAsia="zh-CN"/>
        </w:rPr>
        <w:t xml:space="preserve">       </w:t>
      </w:r>
      <w:r>
        <w:rPr>
          <w:rFonts w:hint="eastAsia" w:ascii="宋体" w:hAnsi="Times New Roman" w:eastAsia="宋体" w:cs="Times New Roman"/>
          <w:kern w:val="2"/>
          <w:sz w:val="30"/>
          <w:szCs w:val="30"/>
          <w:u w:val="single"/>
          <w:lang w:val="en-US" w:eastAsia="zh-CN"/>
        </w:rPr>
        <w:t>年   月    日</w:t>
      </w:r>
      <w:r>
        <w:rPr>
          <w:rFonts w:hint="eastAsia" w:ascii="宋体" w:hAnsi="Times New Roman" w:eastAsia="宋体" w:cs="Times New Roman"/>
          <w:kern w:val="2"/>
          <w:sz w:val="30"/>
          <w:szCs w:val="30"/>
          <w:u w:val="single"/>
          <w:lang w:eastAsia="zh-CN"/>
        </w:rPr>
        <w:t xml:space="preserve">             </w:t>
      </w:r>
      <w:r>
        <w:rPr>
          <w:rFonts w:hint="eastAsia" w:ascii="宋体" w:hAnsi="Times New Roman" w:eastAsia="宋体" w:cs="Times New Roman"/>
          <w:kern w:val="2"/>
          <w:sz w:val="30"/>
          <w:szCs w:val="30"/>
          <w:u w:val="single"/>
          <w:lang w:val="en-US" w:eastAsia="zh-CN"/>
        </w:rPr>
        <w:t xml:space="preserve">    </w:t>
      </w:r>
    </w:p>
    <w:p w14:paraId="3A00309C">
      <w:pPr>
        <w:pStyle w:val="4"/>
        <w:spacing w:before="212"/>
        <w:rPr>
          <w:i w:val="0"/>
          <w:sz w:val="28"/>
          <w:lang w:eastAsia="zh-CN"/>
        </w:rPr>
      </w:pPr>
    </w:p>
    <w:p w14:paraId="78F0CE11">
      <w:pPr>
        <w:pStyle w:val="4"/>
        <w:spacing w:before="212"/>
        <w:rPr>
          <w:i w:val="0"/>
          <w:sz w:val="28"/>
          <w:lang w:eastAsia="zh-CN"/>
        </w:rPr>
      </w:pPr>
    </w:p>
    <w:p w14:paraId="538C85CB">
      <w:pPr>
        <w:pStyle w:val="4"/>
        <w:spacing w:before="212"/>
        <w:rPr>
          <w:i w:val="0"/>
          <w:sz w:val="28"/>
          <w:lang w:eastAsia="zh-CN"/>
        </w:rPr>
      </w:pPr>
    </w:p>
    <w:p w14:paraId="2BCEE326">
      <w:pPr>
        <w:pStyle w:val="4"/>
        <w:spacing w:before="212"/>
        <w:rPr>
          <w:i w:val="0"/>
          <w:sz w:val="28"/>
          <w:lang w:eastAsia="zh-CN"/>
        </w:rPr>
      </w:pPr>
    </w:p>
    <w:p w14:paraId="270FF6DC">
      <w:pPr>
        <w:pStyle w:val="4"/>
        <w:spacing w:before="212"/>
        <w:rPr>
          <w:i w:val="0"/>
          <w:sz w:val="28"/>
          <w:lang w:eastAsia="zh-CN"/>
        </w:rPr>
      </w:pPr>
    </w:p>
    <w:p w14:paraId="6E77AAFA">
      <w:pPr>
        <w:pStyle w:val="4"/>
        <w:spacing w:before="212"/>
        <w:rPr>
          <w:i w:val="0"/>
          <w:sz w:val="28"/>
          <w:lang w:eastAsia="zh-CN"/>
        </w:rPr>
      </w:pPr>
    </w:p>
    <w:p w14:paraId="6ED536CB">
      <w:pPr>
        <w:pStyle w:val="4"/>
        <w:spacing w:before="212"/>
        <w:rPr>
          <w:i w:val="0"/>
          <w:sz w:val="28"/>
          <w:lang w:eastAsia="zh-CN"/>
        </w:rPr>
      </w:pPr>
    </w:p>
    <w:p w14:paraId="435BD5AC">
      <w:pPr>
        <w:pStyle w:val="4"/>
        <w:spacing w:before="212"/>
        <w:rPr>
          <w:i w:val="0"/>
          <w:sz w:val="28"/>
          <w:lang w:eastAsia="zh-CN"/>
        </w:rPr>
      </w:pPr>
    </w:p>
    <w:p w14:paraId="4C401A0F">
      <w:pPr>
        <w:pStyle w:val="4"/>
        <w:spacing w:before="212"/>
        <w:rPr>
          <w:i w:val="0"/>
          <w:sz w:val="28"/>
          <w:lang w:eastAsia="zh-CN"/>
        </w:rPr>
      </w:pPr>
    </w:p>
    <w:p w14:paraId="24E4C1FB">
      <w:pPr>
        <w:pStyle w:val="4"/>
        <w:spacing w:before="212"/>
        <w:rPr>
          <w:rFonts w:ascii="宋体" w:eastAsia="宋体"/>
          <w:b w:val="0"/>
          <w:i w:val="0"/>
          <w:sz w:val="28"/>
          <w:lang w:eastAsia="zh-CN"/>
        </w:rPr>
      </w:pPr>
      <w:r>
        <w:rPr>
          <w:i w:val="0"/>
          <w:sz w:val="28"/>
          <w:lang w:eastAsia="zh-CN"/>
        </w:rPr>
        <w:t>GB/T</w:t>
      </w:r>
      <w:r>
        <w:rPr>
          <w:i w:val="0"/>
          <w:spacing w:val="-8"/>
          <w:sz w:val="28"/>
          <w:lang w:eastAsia="zh-CN"/>
        </w:rPr>
        <w:t xml:space="preserve"> </w:t>
      </w:r>
      <w:r>
        <w:rPr>
          <w:i w:val="0"/>
          <w:sz w:val="28"/>
          <w:lang w:eastAsia="zh-CN"/>
        </w:rPr>
        <w:t>50378-2019</w:t>
      </w:r>
      <w:r>
        <w:rPr>
          <w:rFonts w:hint="eastAsia"/>
          <w:i w:val="0"/>
          <w:sz w:val="28"/>
          <w:lang w:eastAsia="zh-CN"/>
        </w:rPr>
        <w:t>（</w:t>
      </w:r>
      <w:r>
        <w:rPr>
          <w:rFonts w:hint="eastAsia"/>
          <w:i w:val="0"/>
          <w:sz w:val="28"/>
          <w:lang w:val="en-US" w:eastAsia="zh-CN"/>
        </w:rPr>
        <w:t>2024修改版</w:t>
      </w:r>
      <w:r>
        <w:rPr>
          <w:rFonts w:hint="eastAsia"/>
          <w:i w:val="0"/>
          <w:sz w:val="28"/>
          <w:lang w:eastAsia="zh-CN"/>
        </w:rPr>
        <w:t>）</w:t>
      </w:r>
      <w:r>
        <w:rPr>
          <w:i w:val="0"/>
          <w:spacing w:val="69"/>
          <w:sz w:val="28"/>
          <w:lang w:eastAsia="zh-CN"/>
        </w:rPr>
        <w:t xml:space="preserve"> </w:t>
      </w:r>
      <w:r>
        <w:rPr>
          <w:rFonts w:ascii="宋体" w:eastAsia="宋体"/>
          <w:b w:val="0"/>
          <w:i w:val="0"/>
          <w:spacing w:val="-9"/>
          <w:sz w:val="28"/>
          <w:lang w:eastAsia="zh-CN"/>
        </w:rPr>
        <w:t xml:space="preserve">绿色建筑自评表 </w:t>
      </w:r>
      <w:r>
        <w:rPr>
          <w:i w:val="0"/>
          <w:sz w:val="28"/>
          <w:lang w:eastAsia="zh-CN"/>
        </w:rPr>
        <w:t>1</w:t>
      </w:r>
      <w:r>
        <w:rPr>
          <w:i w:val="0"/>
          <w:spacing w:val="22"/>
          <w:sz w:val="28"/>
          <w:lang w:eastAsia="zh-CN"/>
        </w:rPr>
        <w:t xml:space="preserve"> - </w:t>
      </w:r>
      <w:r>
        <w:rPr>
          <w:rFonts w:ascii="宋体" w:eastAsia="宋体"/>
          <w:b w:val="0"/>
          <w:i w:val="0"/>
          <w:spacing w:val="-4"/>
          <w:sz w:val="28"/>
          <w:lang w:eastAsia="zh-CN"/>
        </w:rPr>
        <w:t>汇总表</w:t>
      </w:r>
    </w:p>
    <w:p w14:paraId="7CD4D682">
      <w:pPr>
        <w:spacing w:before="3"/>
        <w:rPr>
          <w:rFonts w:ascii="宋体"/>
          <w:sz w:val="18"/>
          <w:lang w:eastAsia="zh-CN"/>
        </w:rPr>
      </w:pPr>
    </w:p>
    <w:tbl>
      <w:tblPr>
        <w:tblStyle w:val="7"/>
        <w:tblW w:w="9176"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643"/>
        <w:gridCol w:w="701"/>
        <w:gridCol w:w="953"/>
        <w:gridCol w:w="922"/>
        <w:gridCol w:w="408"/>
        <w:gridCol w:w="533"/>
        <w:gridCol w:w="943"/>
        <w:gridCol w:w="993"/>
        <w:gridCol w:w="1757"/>
        <w:gridCol w:w="1323"/>
      </w:tblGrid>
      <w:tr w14:paraId="01DFC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06" w:hRule="exact"/>
        </w:trPr>
        <w:tc>
          <w:tcPr>
            <w:tcW w:w="7853" w:type="dxa"/>
            <w:gridSpan w:val="9"/>
            <w:shd w:val="clear" w:color="auto" w:fill="auto"/>
          </w:tcPr>
          <w:p w14:paraId="369A397B">
            <w:pPr>
              <w:pStyle w:val="9"/>
              <w:spacing w:before="8"/>
              <w:rPr>
                <w:sz w:val="14"/>
                <w:lang w:eastAsia="zh-CN"/>
              </w:rPr>
            </w:pPr>
          </w:p>
          <w:p w14:paraId="47C09224">
            <w:pPr>
              <w:pStyle w:val="9"/>
              <w:spacing w:before="1"/>
              <w:ind w:left="150" w:right="150"/>
              <w:jc w:val="center"/>
              <w:rPr>
                <w:sz w:val="21"/>
              </w:rPr>
            </w:pPr>
            <w:r>
              <w:rPr>
                <w:spacing w:val="-2"/>
                <w:sz w:val="21"/>
              </w:rPr>
              <w:t>申报星级要求</w:t>
            </w:r>
          </w:p>
        </w:tc>
        <w:tc>
          <w:tcPr>
            <w:tcW w:w="1323" w:type="dxa"/>
            <w:shd w:val="clear" w:color="auto" w:fill="auto"/>
          </w:tcPr>
          <w:p w14:paraId="66F592D7">
            <w:pPr>
              <w:pStyle w:val="9"/>
              <w:spacing w:before="8"/>
              <w:rPr>
                <w:sz w:val="14"/>
              </w:rPr>
            </w:pPr>
          </w:p>
          <w:p w14:paraId="7389EE0F">
            <w:pPr>
              <w:pStyle w:val="9"/>
              <w:spacing w:before="1"/>
              <w:ind w:left="102" w:right="104"/>
              <w:jc w:val="center"/>
              <w:rPr>
                <w:sz w:val="21"/>
              </w:rPr>
            </w:pPr>
            <w:r>
              <w:rPr>
                <w:spacing w:val="-3"/>
                <w:sz w:val="21"/>
              </w:rPr>
              <w:t>是否达标</w:t>
            </w:r>
          </w:p>
        </w:tc>
      </w:tr>
      <w:tr w14:paraId="5D56D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7853" w:type="dxa"/>
            <w:gridSpan w:val="9"/>
            <w:shd w:val="clear" w:color="auto" w:fill="auto"/>
          </w:tcPr>
          <w:p w14:paraId="717EEB48">
            <w:pPr>
              <w:pStyle w:val="9"/>
              <w:spacing w:before="51" w:line="244" w:lineRule="auto"/>
              <w:ind w:left="1967" w:right="139" w:hanging="1829"/>
              <w:rPr>
                <w:sz w:val="21"/>
                <w:lang w:eastAsia="zh-CN"/>
              </w:rPr>
            </w:pPr>
            <w:r>
              <w:rPr>
                <w:rFonts w:ascii="Times New Roman" w:eastAsia="Times New Roman"/>
                <w:spacing w:val="-2"/>
                <w:sz w:val="21"/>
                <w:lang w:eastAsia="zh-CN"/>
              </w:rPr>
              <w:t>1</w:t>
            </w:r>
            <w:r>
              <w:rPr>
                <w:spacing w:val="-2"/>
                <w:sz w:val="21"/>
                <w:lang w:eastAsia="zh-CN"/>
              </w:rPr>
              <w:t>、绿色建筑均应满足本标准全部控制项的要求，且每类指标的评分项得分</w:t>
            </w:r>
            <w:r>
              <w:rPr>
                <w:spacing w:val="-4"/>
                <w:sz w:val="21"/>
                <w:lang w:eastAsia="zh-CN"/>
              </w:rPr>
              <w:t xml:space="preserve">不应小于其评分项满分值的 </w:t>
            </w:r>
            <w:r>
              <w:rPr>
                <w:rFonts w:ascii="Times New Roman" w:eastAsia="Times New Roman"/>
                <w:sz w:val="21"/>
                <w:lang w:eastAsia="zh-CN"/>
              </w:rPr>
              <w:t>30%</w:t>
            </w:r>
            <w:r>
              <w:rPr>
                <w:sz w:val="21"/>
                <w:lang w:eastAsia="zh-CN"/>
              </w:rPr>
              <w:t>。</w:t>
            </w:r>
          </w:p>
        </w:tc>
        <w:tc>
          <w:tcPr>
            <w:tcW w:w="1323" w:type="dxa"/>
            <w:shd w:val="clear" w:color="auto" w:fill="auto"/>
          </w:tcPr>
          <w:p w14:paraId="79744062">
            <w:pPr>
              <w:pStyle w:val="9"/>
              <w:spacing w:before="1"/>
              <w:ind w:left="102" w:right="104"/>
              <w:jc w:val="center"/>
              <w:rPr>
                <w:sz w:val="21"/>
              </w:rPr>
            </w:pPr>
          </w:p>
        </w:tc>
      </w:tr>
      <w:tr w14:paraId="34D1D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exact"/>
        </w:trPr>
        <w:tc>
          <w:tcPr>
            <w:tcW w:w="7853" w:type="dxa"/>
            <w:gridSpan w:val="9"/>
            <w:shd w:val="clear" w:color="auto" w:fill="auto"/>
          </w:tcPr>
          <w:p w14:paraId="4E8E2538">
            <w:pPr>
              <w:pStyle w:val="9"/>
              <w:spacing w:before="1" w:line="252" w:lineRule="exact"/>
              <w:ind w:left="147" w:right="150"/>
              <w:jc w:val="center"/>
              <w:rPr>
                <w:sz w:val="21"/>
                <w:lang w:eastAsia="zh-CN"/>
              </w:rPr>
            </w:pPr>
            <w:r>
              <w:rPr>
                <w:rFonts w:ascii="Times New Roman" w:eastAsia="Times New Roman"/>
                <w:spacing w:val="-2"/>
                <w:sz w:val="21"/>
                <w:lang w:eastAsia="zh-CN"/>
              </w:rPr>
              <w:t>2</w:t>
            </w:r>
            <w:r>
              <w:rPr>
                <w:spacing w:val="-3"/>
                <w:sz w:val="21"/>
                <w:lang w:eastAsia="zh-CN"/>
              </w:rPr>
              <w:t>、绿色建筑应进行全装修。</w:t>
            </w:r>
          </w:p>
        </w:tc>
        <w:tc>
          <w:tcPr>
            <w:tcW w:w="1323" w:type="dxa"/>
            <w:shd w:val="clear" w:color="auto" w:fill="auto"/>
          </w:tcPr>
          <w:p w14:paraId="24815D4F">
            <w:pPr>
              <w:pStyle w:val="9"/>
              <w:spacing w:before="1" w:line="252" w:lineRule="exact"/>
              <w:ind w:left="102" w:right="104"/>
              <w:jc w:val="center"/>
              <w:rPr>
                <w:sz w:val="21"/>
              </w:rPr>
            </w:pPr>
          </w:p>
        </w:tc>
      </w:tr>
      <w:tr w14:paraId="3872B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0" w:hRule="exact"/>
        </w:trPr>
        <w:tc>
          <w:tcPr>
            <w:tcW w:w="7853" w:type="dxa"/>
            <w:gridSpan w:val="9"/>
            <w:shd w:val="clear" w:color="auto" w:fill="auto"/>
          </w:tcPr>
          <w:p w14:paraId="4925792C">
            <w:pPr>
              <w:pStyle w:val="9"/>
              <w:spacing w:before="1" w:line="250" w:lineRule="exact"/>
              <w:ind w:left="770"/>
              <w:rPr>
                <w:sz w:val="21"/>
                <w:lang w:eastAsia="zh-CN"/>
              </w:rPr>
            </w:pPr>
            <w:r>
              <w:rPr>
                <w:rFonts w:ascii="Times New Roman" w:eastAsia="Times New Roman"/>
                <w:spacing w:val="-2"/>
                <w:sz w:val="21"/>
                <w:lang w:eastAsia="zh-CN"/>
              </w:rPr>
              <w:t>3</w:t>
            </w:r>
            <w:r>
              <w:rPr>
                <w:spacing w:val="-2"/>
                <w:sz w:val="21"/>
                <w:lang w:eastAsia="zh-CN"/>
              </w:rPr>
              <w:t>、技术要求（注：以下各项对应星级均满足，则判定达标</w:t>
            </w:r>
            <w:r>
              <w:rPr>
                <w:spacing w:val="-10"/>
                <w:sz w:val="21"/>
                <w:lang w:eastAsia="zh-CN"/>
              </w:rPr>
              <w:t>）</w:t>
            </w:r>
          </w:p>
        </w:tc>
        <w:tc>
          <w:tcPr>
            <w:tcW w:w="1323" w:type="dxa"/>
            <w:shd w:val="clear" w:color="auto" w:fill="auto"/>
          </w:tcPr>
          <w:p w14:paraId="6522232F">
            <w:pPr>
              <w:pStyle w:val="9"/>
              <w:rPr>
                <w:rFonts w:ascii="Times New Roman"/>
                <w:sz w:val="20"/>
                <w:lang w:eastAsia="zh-CN"/>
              </w:rPr>
            </w:pPr>
          </w:p>
        </w:tc>
      </w:tr>
      <w:tr w14:paraId="50E3D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exact"/>
        </w:trPr>
        <w:tc>
          <w:tcPr>
            <w:tcW w:w="643" w:type="dxa"/>
            <w:vMerge w:val="restart"/>
            <w:shd w:val="clear" w:color="auto" w:fill="auto"/>
          </w:tcPr>
          <w:p w14:paraId="3AE9287F">
            <w:pPr>
              <w:pStyle w:val="9"/>
              <w:spacing w:before="4" w:line="250" w:lineRule="exact"/>
              <w:ind w:right="103"/>
              <w:jc w:val="right"/>
              <w:rPr>
                <w:sz w:val="21"/>
              </w:rPr>
            </w:pPr>
            <w:r>
              <w:rPr>
                <w:spacing w:val="-5"/>
                <w:sz w:val="21"/>
              </w:rPr>
              <w:t>技术</w:t>
            </w:r>
          </w:p>
          <w:p w14:paraId="2E3DBEE2">
            <w:pPr>
              <w:pStyle w:val="9"/>
              <w:spacing w:before="1"/>
              <w:ind w:left="105"/>
              <w:rPr>
                <w:sz w:val="21"/>
              </w:rPr>
            </w:pPr>
            <w:r>
              <w:rPr>
                <w:spacing w:val="-5"/>
                <w:sz w:val="21"/>
              </w:rPr>
              <w:t>要求</w:t>
            </w:r>
          </w:p>
          <w:p w14:paraId="30B3064F">
            <w:pPr>
              <w:pStyle w:val="9"/>
              <w:spacing w:line="232" w:lineRule="exact"/>
              <w:ind w:right="103"/>
              <w:jc w:val="right"/>
              <w:rPr>
                <w:sz w:val="21"/>
              </w:rPr>
            </w:pPr>
            <w:r>
              <w:rPr>
                <w:spacing w:val="-5"/>
                <w:sz w:val="21"/>
              </w:rPr>
              <w:t>内容</w:t>
            </w:r>
          </w:p>
        </w:tc>
        <w:tc>
          <w:tcPr>
            <w:tcW w:w="1654" w:type="dxa"/>
            <w:gridSpan w:val="2"/>
            <w:vMerge w:val="restart"/>
            <w:shd w:val="clear" w:color="auto" w:fill="auto"/>
          </w:tcPr>
          <w:p w14:paraId="63FF88D4">
            <w:pPr>
              <w:pStyle w:val="9"/>
              <w:spacing w:before="111" w:line="250" w:lineRule="exact"/>
              <w:ind w:left="191"/>
              <w:rPr>
                <w:spacing w:val="-4"/>
                <w:sz w:val="21"/>
              </w:rPr>
            </w:pPr>
            <w:r>
              <w:rPr>
                <w:spacing w:val="-4"/>
                <w:sz w:val="21"/>
              </w:rPr>
              <w:t>围护结构热工</w:t>
            </w:r>
          </w:p>
          <w:p w14:paraId="6C24DD0F">
            <w:pPr>
              <w:pStyle w:val="9"/>
              <w:spacing w:before="1" w:line="242" w:lineRule="auto"/>
              <w:ind w:left="191" w:right="186" w:hanging="3"/>
              <w:jc w:val="center"/>
              <w:rPr>
                <w:sz w:val="21"/>
                <w:lang w:eastAsia="zh-CN"/>
              </w:rPr>
            </w:pPr>
            <w:r>
              <w:rPr>
                <w:spacing w:val="-2"/>
                <w:sz w:val="21"/>
                <w:lang w:eastAsia="zh-CN"/>
              </w:rPr>
              <w:t>性能提高比 例，或建筑供暖空调负荷降</w:t>
            </w:r>
            <w:r>
              <w:rPr>
                <w:spacing w:val="-4"/>
                <w:sz w:val="21"/>
                <w:lang w:eastAsia="zh-CN"/>
              </w:rPr>
              <w:t>低比例</w:t>
            </w:r>
          </w:p>
        </w:tc>
        <w:tc>
          <w:tcPr>
            <w:tcW w:w="1330" w:type="dxa"/>
            <w:gridSpan w:val="2"/>
            <w:shd w:val="clear" w:color="auto" w:fill="auto"/>
          </w:tcPr>
          <w:p w14:paraId="67133D86">
            <w:pPr>
              <w:pStyle w:val="9"/>
              <w:spacing w:before="130"/>
              <w:ind w:left="435" w:right="435"/>
              <w:jc w:val="center"/>
              <w:rPr>
                <w:spacing w:val="-5"/>
                <w:sz w:val="21"/>
              </w:rPr>
            </w:pPr>
            <w:r>
              <w:rPr>
                <w:spacing w:val="-5"/>
                <w:sz w:val="21"/>
              </w:rPr>
              <w:t>一星</w:t>
            </w:r>
          </w:p>
        </w:tc>
        <w:tc>
          <w:tcPr>
            <w:tcW w:w="4226" w:type="dxa"/>
            <w:gridSpan w:val="4"/>
            <w:shd w:val="clear" w:color="auto" w:fill="auto"/>
            <w:vAlign w:val="center"/>
          </w:tcPr>
          <w:p w14:paraId="531F72DE">
            <w:pPr>
              <w:pStyle w:val="9"/>
              <w:spacing w:before="130"/>
              <w:ind w:left="435" w:right="435"/>
              <w:jc w:val="center"/>
              <w:rPr>
                <w:spacing w:val="-5"/>
                <w:sz w:val="21"/>
                <w:lang w:val="en-US" w:eastAsia="zh-CN"/>
              </w:rPr>
            </w:pPr>
            <w:r>
              <w:rPr>
                <w:rFonts w:hint="eastAsia"/>
                <w:spacing w:val="-5"/>
                <w:sz w:val="21"/>
                <w:lang w:val="en-US" w:eastAsia="zh-CN"/>
              </w:rPr>
              <w:t>/</w:t>
            </w:r>
          </w:p>
        </w:tc>
        <w:tc>
          <w:tcPr>
            <w:tcW w:w="1323" w:type="dxa"/>
            <w:shd w:val="clear" w:color="auto" w:fill="auto"/>
          </w:tcPr>
          <w:p w14:paraId="0218B030">
            <w:pPr>
              <w:pStyle w:val="9"/>
              <w:spacing w:before="130"/>
              <w:ind w:left="435" w:right="435"/>
              <w:jc w:val="center"/>
              <w:rPr>
                <w:spacing w:val="-5"/>
                <w:sz w:val="21"/>
                <w:lang w:eastAsia="zh-CN"/>
              </w:rPr>
            </w:pPr>
          </w:p>
        </w:tc>
      </w:tr>
      <w:tr w14:paraId="24E69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exact"/>
        </w:trPr>
        <w:tc>
          <w:tcPr>
            <w:tcW w:w="643" w:type="dxa"/>
            <w:vMerge w:val="continue"/>
            <w:shd w:val="clear" w:color="auto" w:fill="auto"/>
          </w:tcPr>
          <w:p w14:paraId="0C2E8FE2">
            <w:pPr>
              <w:rPr>
                <w:sz w:val="2"/>
                <w:szCs w:val="2"/>
                <w:lang w:eastAsia="zh-CN"/>
              </w:rPr>
            </w:pPr>
          </w:p>
        </w:tc>
        <w:tc>
          <w:tcPr>
            <w:tcW w:w="1654" w:type="dxa"/>
            <w:gridSpan w:val="2"/>
            <w:vMerge w:val="continue"/>
            <w:shd w:val="clear" w:color="auto" w:fill="auto"/>
          </w:tcPr>
          <w:p w14:paraId="549379EA">
            <w:pPr>
              <w:rPr>
                <w:sz w:val="2"/>
                <w:szCs w:val="2"/>
                <w:lang w:eastAsia="zh-CN"/>
              </w:rPr>
            </w:pPr>
          </w:p>
        </w:tc>
        <w:tc>
          <w:tcPr>
            <w:tcW w:w="1330" w:type="dxa"/>
            <w:gridSpan w:val="2"/>
            <w:shd w:val="clear" w:color="auto" w:fill="auto"/>
          </w:tcPr>
          <w:p w14:paraId="7167D030">
            <w:pPr>
              <w:pStyle w:val="9"/>
              <w:spacing w:before="130"/>
              <w:ind w:left="435" w:right="435"/>
              <w:jc w:val="center"/>
              <w:rPr>
                <w:sz w:val="21"/>
              </w:rPr>
            </w:pPr>
            <w:r>
              <w:rPr>
                <w:spacing w:val="-5"/>
                <w:sz w:val="21"/>
              </w:rPr>
              <w:t>二星</w:t>
            </w:r>
          </w:p>
        </w:tc>
        <w:tc>
          <w:tcPr>
            <w:tcW w:w="4226" w:type="dxa"/>
            <w:gridSpan w:val="4"/>
            <w:shd w:val="clear" w:color="auto" w:fill="auto"/>
            <w:vAlign w:val="center"/>
          </w:tcPr>
          <w:p w14:paraId="246D109C">
            <w:pPr>
              <w:pStyle w:val="9"/>
              <w:spacing w:before="123"/>
              <w:ind w:left="435" w:right="435"/>
              <w:jc w:val="center"/>
              <w:rPr>
                <w:spacing w:val="-5"/>
                <w:sz w:val="21"/>
                <w:lang w:val="en-US" w:eastAsia="zh-CN"/>
              </w:rPr>
            </w:pPr>
            <w:r>
              <w:rPr>
                <w:rFonts w:hint="eastAsia"/>
                <w:spacing w:val="-5"/>
                <w:sz w:val="21"/>
                <w:lang w:val="en-US" w:eastAsia="zh-CN"/>
              </w:rPr>
              <w:t>围护结构提高5%，或负荷降低3%</w:t>
            </w:r>
          </w:p>
        </w:tc>
        <w:tc>
          <w:tcPr>
            <w:tcW w:w="1323" w:type="dxa"/>
            <w:shd w:val="clear" w:color="auto" w:fill="auto"/>
          </w:tcPr>
          <w:p w14:paraId="3A867859">
            <w:pPr>
              <w:pStyle w:val="9"/>
              <w:jc w:val="center"/>
              <w:rPr>
                <w:rFonts w:ascii="Times New Roman"/>
                <w:sz w:val="20"/>
                <w:lang w:eastAsia="zh-CN"/>
              </w:rPr>
            </w:pPr>
          </w:p>
        </w:tc>
      </w:tr>
      <w:tr w14:paraId="76B99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23" w:hRule="exact"/>
        </w:trPr>
        <w:tc>
          <w:tcPr>
            <w:tcW w:w="643" w:type="dxa"/>
            <w:vMerge w:val="continue"/>
            <w:shd w:val="clear" w:color="auto" w:fill="auto"/>
          </w:tcPr>
          <w:p w14:paraId="29B85815">
            <w:pPr>
              <w:rPr>
                <w:sz w:val="2"/>
                <w:szCs w:val="2"/>
                <w:lang w:eastAsia="zh-CN"/>
              </w:rPr>
            </w:pPr>
          </w:p>
        </w:tc>
        <w:tc>
          <w:tcPr>
            <w:tcW w:w="1654" w:type="dxa"/>
            <w:gridSpan w:val="2"/>
            <w:vMerge w:val="continue"/>
            <w:shd w:val="clear" w:color="auto" w:fill="auto"/>
          </w:tcPr>
          <w:p w14:paraId="77183CC9">
            <w:pPr>
              <w:rPr>
                <w:sz w:val="2"/>
                <w:szCs w:val="2"/>
                <w:lang w:eastAsia="zh-CN"/>
              </w:rPr>
            </w:pPr>
          </w:p>
        </w:tc>
        <w:tc>
          <w:tcPr>
            <w:tcW w:w="1330" w:type="dxa"/>
            <w:gridSpan w:val="2"/>
            <w:shd w:val="clear" w:color="auto" w:fill="auto"/>
          </w:tcPr>
          <w:p w14:paraId="7E9E3C5D">
            <w:pPr>
              <w:pStyle w:val="9"/>
              <w:spacing w:before="121"/>
              <w:ind w:left="435" w:right="435"/>
              <w:jc w:val="center"/>
              <w:rPr>
                <w:sz w:val="21"/>
              </w:rPr>
            </w:pPr>
            <w:r>
              <w:rPr>
                <w:spacing w:val="-5"/>
                <w:sz w:val="21"/>
              </w:rPr>
              <w:t>三星</w:t>
            </w:r>
          </w:p>
        </w:tc>
        <w:tc>
          <w:tcPr>
            <w:tcW w:w="4226" w:type="dxa"/>
            <w:gridSpan w:val="4"/>
            <w:shd w:val="clear" w:color="auto" w:fill="auto"/>
            <w:vAlign w:val="center"/>
          </w:tcPr>
          <w:p w14:paraId="6959CCB8">
            <w:pPr>
              <w:pStyle w:val="9"/>
              <w:spacing w:before="123"/>
              <w:ind w:left="435" w:right="435"/>
              <w:jc w:val="center"/>
              <w:rPr>
                <w:spacing w:val="-5"/>
                <w:sz w:val="21"/>
                <w:lang w:val="en-US" w:eastAsia="zh-CN"/>
              </w:rPr>
            </w:pPr>
            <w:r>
              <w:rPr>
                <w:rFonts w:hint="eastAsia"/>
                <w:spacing w:val="-5"/>
                <w:sz w:val="21"/>
                <w:lang w:val="en-US" w:eastAsia="zh-CN"/>
              </w:rPr>
              <w:t>围护结构提高10%，或负荷降低5%</w:t>
            </w:r>
          </w:p>
        </w:tc>
        <w:tc>
          <w:tcPr>
            <w:tcW w:w="1323" w:type="dxa"/>
            <w:shd w:val="clear" w:color="auto" w:fill="auto"/>
          </w:tcPr>
          <w:p w14:paraId="1CED58B7">
            <w:pPr>
              <w:pStyle w:val="9"/>
              <w:spacing w:before="121"/>
              <w:ind w:left="102" w:right="104"/>
              <w:jc w:val="center"/>
              <w:rPr>
                <w:sz w:val="21"/>
              </w:rPr>
            </w:pPr>
          </w:p>
        </w:tc>
      </w:tr>
      <w:tr w14:paraId="2CBAE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exact"/>
        </w:trPr>
        <w:tc>
          <w:tcPr>
            <w:tcW w:w="643" w:type="dxa"/>
            <w:vMerge w:val="continue"/>
            <w:shd w:val="clear" w:color="auto" w:fill="auto"/>
          </w:tcPr>
          <w:p w14:paraId="021046CB">
            <w:pPr>
              <w:pStyle w:val="9"/>
              <w:rPr>
                <w:rFonts w:ascii="Times New Roman"/>
                <w:sz w:val="20"/>
              </w:rPr>
            </w:pPr>
          </w:p>
        </w:tc>
        <w:tc>
          <w:tcPr>
            <w:tcW w:w="1654" w:type="dxa"/>
            <w:gridSpan w:val="2"/>
            <w:tcBorders>
              <w:bottom w:val="nil"/>
            </w:tcBorders>
            <w:shd w:val="clear" w:color="auto" w:fill="auto"/>
          </w:tcPr>
          <w:p w14:paraId="7849EE2C">
            <w:pPr>
              <w:pStyle w:val="9"/>
              <w:spacing w:before="92" w:line="238" w:lineRule="exact"/>
              <w:ind w:left="191"/>
              <w:rPr>
                <w:sz w:val="21"/>
              </w:rPr>
            </w:pPr>
            <w:r>
              <w:rPr>
                <w:spacing w:val="-4"/>
                <w:sz w:val="21"/>
              </w:rPr>
              <w:t>节水器具用水</w:t>
            </w:r>
          </w:p>
        </w:tc>
        <w:tc>
          <w:tcPr>
            <w:tcW w:w="1330" w:type="dxa"/>
            <w:gridSpan w:val="2"/>
            <w:shd w:val="clear" w:color="auto" w:fill="auto"/>
          </w:tcPr>
          <w:p w14:paraId="53DE62E0">
            <w:pPr>
              <w:pStyle w:val="9"/>
              <w:spacing w:before="39"/>
              <w:ind w:left="435" w:right="435"/>
              <w:jc w:val="center"/>
              <w:rPr>
                <w:sz w:val="21"/>
              </w:rPr>
            </w:pPr>
            <w:r>
              <w:rPr>
                <w:spacing w:val="-5"/>
                <w:sz w:val="21"/>
              </w:rPr>
              <w:t>一星</w:t>
            </w:r>
          </w:p>
        </w:tc>
        <w:tc>
          <w:tcPr>
            <w:tcW w:w="4226" w:type="dxa"/>
            <w:gridSpan w:val="4"/>
            <w:shd w:val="clear" w:color="auto" w:fill="auto"/>
          </w:tcPr>
          <w:p w14:paraId="682F668E">
            <w:pPr>
              <w:pStyle w:val="9"/>
              <w:spacing w:before="39"/>
              <w:ind w:left="164" w:right="161"/>
              <w:jc w:val="center"/>
              <w:rPr>
                <w:sz w:val="21"/>
              </w:rPr>
            </w:pPr>
            <w:r>
              <w:rPr>
                <w:rFonts w:ascii="Times New Roman" w:eastAsia="Times New Roman"/>
                <w:sz w:val="21"/>
              </w:rPr>
              <w:t>3</w:t>
            </w:r>
            <w:r>
              <w:rPr>
                <w:rFonts w:ascii="Times New Roman" w:eastAsia="Times New Roman"/>
                <w:spacing w:val="-1"/>
                <w:sz w:val="21"/>
              </w:rPr>
              <w:t xml:space="preserve"> </w:t>
            </w:r>
            <w:r>
              <w:rPr>
                <w:spacing w:val="-10"/>
                <w:sz w:val="21"/>
              </w:rPr>
              <w:t>级</w:t>
            </w:r>
          </w:p>
        </w:tc>
        <w:tc>
          <w:tcPr>
            <w:tcW w:w="1323" w:type="dxa"/>
            <w:shd w:val="clear" w:color="auto" w:fill="auto"/>
          </w:tcPr>
          <w:p w14:paraId="48006228">
            <w:pPr>
              <w:pStyle w:val="9"/>
              <w:jc w:val="center"/>
              <w:rPr>
                <w:rFonts w:ascii="Times New Roman"/>
                <w:sz w:val="20"/>
              </w:rPr>
            </w:pPr>
          </w:p>
        </w:tc>
      </w:tr>
      <w:tr w14:paraId="42F5B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exact"/>
        </w:trPr>
        <w:tc>
          <w:tcPr>
            <w:tcW w:w="643" w:type="dxa"/>
            <w:vMerge w:val="continue"/>
            <w:shd w:val="clear" w:color="auto" w:fill="auto"/>
          </w:tcPr>
          <w:p w14:paraId="010E13F6">
            <w:pPr>
              <w:pStyle w:val="9"/>
              <w:rPr>
                <w:rFonts w:ascii="Times New Roman"/>
                <w:sz w:val="20"/>
              </w:rPr>
            </w:pPr>
          </w:p>
        </w:tc>
        <w:tc>
          <w:tcPr>
            <w:tcW w:w="1654" w:type="dxa"/>
            <w:gridSpan w:val="2"/>
            <w:tcBorders>
              <w:top w:val="nil"/>
            </w:tcBorders>
            <w:shd w:val="clear" w:color="auto" w:fill="auto"/>
          </w:tcPr>
          <w:p w14:paraId="6669E7F7">
            <w:pPr>
              <w:pStyle w:val="9"/>
              <w:spacing w:before="15"/>
              <w:ind w:left="400"/>
              <w:rPr>
                <w:sz w:val="21"/>
              </w:rPr>
            </w:pPr>
            <w:r>
              <w:rPr>
                <w:spacing w:val="-4"/>
                <w:sz w:val="21"/>
              </w:rPr>
              <w:t>效率等级</w:t>
            </w:r>
          </w:p>
        </w:tc>
        <w:tc>
          <w:tcPr>
            <w:tcW w:w="1330" w:type="dxa"/>
            <w:gridSpan w:val="2"/>
            <w:shd w:val="clear" w:color="auto" w:fill="auto"/>
          </w:tcPr>
          <w:p w14:paraId="04DE90D6">
            <w:pPr>
              <w:pStyle w:val="9"/>
              <w:spacing w:before="51"/>
              <w:ind w:left="134"/>
              <w:rPr>
                <w:sz w:val="21"/>
              </w:rPr>
            </w:pPr>
            <w:r>
              <w:rPr>
                <w:spacing w:val="-4"/>
                <w:sz w:val="21"/>
              </w:rPr>
              <w:t>二星、三星</w:t>
            </w:r>
          </w:p>
        </w:tc>
        <w:tc>
          <w:tcPr>
            <w:tcW w:w="4226" w:type="dxa"/>
            <w:gridSpan w:val="4"/>
            <w:shd w:val="clear" w:color="auto" w:fill="auto"/>
          </w:tcPr>
          <w:p w14:paraId="199DD814">
            <w:pPr>
              <w:pStyle w:val="9"/>
              <w:spacing w:before="51"/>
              <w:ind w:left="163" w:right="161"/>
              <w:jc w:val="center"/>
              <w:rPr>
                <w:sz w:val="21"/>
              </w:rPr>
            </w:pPr>
            <w:r>
              <w:rPr>
                <w:rFonts w:ascii="Times New Roman" w:eastAsia="Times New Roman"/>
                <w:sz w:val="21"/>
              </w:rPr>
              <w:t xml:space="preserve">2 </w:t>
            </w:r>
            <w:r>
              <w:rPr>
                <w:spacing w:val="-10"/>
                <w:sz w:val="21"/>
              </w:rPr>
              <w:t>级</w:t>
            </w:r>
          </w:p>
        </w:tc>
        <w:tc>
          <w:tcPr>
            <w:tcW w:w="1323" w:type="dxa"/>
            <w:shd w:val="clear" w:color="auto" w:fill="auto"/>
          </w:tcPr>
          <w:p w14:paraId="7C2CBFCF">
            <w:pPr>
              <w:pStyle w:val="9"/>
              <w:spacing w:before="51"/>
              <w:ind w:left="102" w:right="104"/>
              <w:jc w:val="center"/>
              <w:rPr>
                <w:sz w:val="21"/>
              </w:rPr>
            </w:pPr>
          </w:p>
        </w:tc>
      </w:tr>
      <w:tr w14:paraId="73F19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4" w:hRule="exact"/>
        </w:trPr>
        <w:tc>
          <w:tcPr>
            <w:tcW w:w="643" w:type="dxa"/>
            <w:vMerge w:val="continue"/>
            <w:shd w:val="clear" w:color="auto" w:fill="auto"/>
          </w:tcPr>
          <w:p w14:paraId="03255DEF">
            <w:pPr>
              <w:pStyle w:val="9"/>
              <w:rPr>
                <w:rFonts w:ascii="Times New Roman"/>
                <w:sz w:val="20"/>
              </w:rPr>
            </w:pPr>
          </w:p>
        </w:tc>
        <w:tc>
          <w:tcPr>
            <w:tcW w:w="1654" w:type="dxa"/>
            <w:gridSpan w:val="2"/>
            <w:vMerge w:val="restart"/>
            <w:shd w:val="clear" w:color="auto" w:fill="auto"/>
          </w:tcPr>
          <w:p w14:paraId="4BBA925E">
            <w:pPr>
              <w:pStyle w:val="9"/>
              <w:spacing w:line="235" w:lineRule="exact"/>
              <w:ind w:left="191"/>
              <w:rPr>
                <w:sz w:val="21"/>
              </w:rPr>
            </w:pPr>
            <w:r>
              <w:rPr>
                <w:spacing w:val="-4"/>
                <w:sz w:val="21"/>
              </w:rPr>
              <w:t>住宅建筑隔声</w:t>
            </w:r>
          </w:p>
          <w:p w14:paraId="6D266F7B">
            <w:pPr>
              <w:pStyle w:val="9"/>
              <w:spacing w:line="233" w:lineRule="exact"/>
              <w:ind w:left="598" w:right="596"/>
              <w:jc w:val="center"/>
              <w:rPr>
                <w:sz w:val="21"/>
              </w:rPr>
            </w:pPr>
            <w:r>
              <w:rPr>
                <w:spacing w:val="-5"/>
                <w:sz w:val="21"/>
              </w:rPr>
              <w:t>性能</w:t>
            </w:r>
          </w:p>
        </w:tc>
        <w:tc>
          <w:tcPr>
            <w:tcW w:w="1330" w:type="dxa"/>
            <w:gridSpan w:val="2"/>
            <w:shd w:val="clear" w:color="auto" w:fill="auto"/>
          </w:tcPr>
          <w:p w14:paraId="533B308E">
            <w:pPr>
              <w:pStyle w:val="9"/>
              <w:spacing w:before="1" w:line="251" w:lineRule="exact"/>
              <w:ind w:left="435" w:right="435"/>
              <w:jc w:val="center"/>
              <w:rPr>
                <w:sz w:val="21"/>
              </w:rPr>
            </w:pPr>
            <w:r>
              <w:rPr>
                <w:spacing w:val="-5"/>
                <w:sz w:val="21"/>
              </w:rPr>
              <w:t>二星</w:t>
            </w:r>
          </w:p>
        </w:tc>
        <w:tc>
          <w:tcPr>
            <w:tcW w:w="4226" w:type="dxa"/>
            <w:gridSpan w:val="4"/>
            <w:shd w:val="clear" w:color="auto" w:fill="auto"/>
          </w:tcPr>
          <w:p w14:paraId="11AB44AC">
            <w:pPr>
              <w:pStyle w:val="9"/>
              <w:spacing w:before="1" w:line="252" w:lineRule="exact"/>
              <w:ind w:left="163" w:right="161"/>
              <w:jc w:val="center"/>
              <w:rPr>
                <w:sz w:val="21"/>
              </w:rPr>
            </w:pPr>
            <w:r>
              <w:rPr>
                <w:rFonts w:hint="eastAsia"/>
                <w:spacing w:val="-2"/>
                <w:sz w:val="21"/>
                <w:lang w:eastAsia="zh-CN"/>
              </w:rPr>
              <w:t>卧室分户墙和卧室分户楼板两侧房间之间的空气声隔声性能(计权标准化声压级差与交通噪声频谱修正量之和DnT,w+Ctr)≥47dB，卧室分户楼板的撞击声隔声性能(计权标准化撞击声压级LnT,w)≤60dB</w:t>
            </w:r>
          </w:p>
        </w:tc>
        <w:tc>
          <w:tcPr>
            <w:tcW w:w="1323" w:type="dxa"/>
            <w:shd w:val="clear" w:color="auto" w:fill="auto"/>
          </w:tcPr>
          <w:p w14:paraId="1232D353">
            <w:pPr>
              <w:pStyle w:val="9"/>
              <w:spacing w:before="51"/>
              <w:ind w:left="102" w:right="104"/>
              <w:jc w:val="center"/>
              <w:rPr>
                <w:rFonts w:hint="default" w:ascii="宋体" w:hAnsi="宋体" w:eastAsia="宋体" w:cs="宋体"/>
                <w:spacing w:val="-5"/>
                <w:sz w:val="21"/>
                <w:szCs w:val="22"/>
                <w:lang w:val="en-US" w:eastAsia="zh-CN" w:bidi="ar-SA"/>
              </w:rPr>
            </w:pPr>
          </w:p>
        </w:tc>
      </w:tr>
      <w:tr w14:paraId="5C86F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576" w:hRule="exact"/>
        </w:trPr>
        <w:tc>
          <w:tcPr>
            <w:tcW w:w="643" w:type="dxa"/>
            <w:vMerge w:val="continue"/>
            <w:shd w:val="clear" w:color="auto" w:fill="auto"/>
          </w:tcPr>
          <w:p w14:paraId="555ADB11">
            <w:pPr>
              <w:rPr>
                <w:sz w:val="2"/>
                <w:szCs w:val="2"/>
              </w:rPr>
            </w:pPr>
          </w:p>
        </w:tc>
        <w:tc>
          <w:tcPr>
            <w:tcW w:w="1654" w:type="dxa"/>
            <w:gridSpan w:val="2"/>
            <w:vMerge w:val="continue"/>
            <w:shd w:val="clear" w:color="auto" w:fill="auto"/>
          </w:tcPr>
          <w:p w14:paraId="2F76F3A6">
            <w:pPr>
              <w:rPr>
                <w:sz w:val="2"/>
                <w:szCs w:val="2"/>
              </w:rPr>
            </w:pPr>
          </w:p>
        </w:tc>
        <w:tc>
          <w:tcPr>
            <w:tcW w:w="1330" w:type="dxa"/>
            <w:gridSpan w:val="2"/>
            <w:shd w:val="clear" w:color="auto" w:fill="auto"/>
          </w:tcPr>
          <w:p w14:paraId="5C7BA1B9">
            <w:pPr>
              <w:pStyle w:val="9"/>
              <w:rPr>
                <w:sz w:val="20"/>
              </w:rPr>
            </w:pPr>
          </w:p>
          <w:p w14:paraId="3941FA09">
            <w:pPr>
              <w:pStyle w:val="9"/>
              <w:spacing w:before="6"/>
              <w:rPr>
                <w:sz w:val="25"/>
              </w:rPr>
            </w:pPr>
          </w:p>
          <w:p w14:paraId="3E566D76">
            <w:pPr>
              <w:pStyle w:val="9"/>
              <w:spacing w:before="1"/>
              <w:ind w:left="435" w:right="435"/>
              <w:jc w:val="center"/>
              <w:rPr>
                <w:sz w:val="21"/>
              </w:rPr>
            </w:pPr>
            <w:r>
              <w:rPr>
                <w:spacing w:val="-5"/>
                <w:sz w:val="21"/>
              </w:rPr>
              <w:t>三星</w:t>
            </w:r>
          </w:p>
        </w:tc>
        <w:tc>
          <w:tcPr>
            <w:tcW w:w="4226" w:type="dxa"/>
            <w:gridSpan w:val="4"/>
            <w:shd w:val="clear" w:color="auto" w:fill="auto"/>
          </w:tcPr>
          <w:p w14:paraId="7233092E">
            <w:pPr>
              <w:pStyle w:val="9"/>
              <w:spacing w:before="175" w:line="242" w:lineRule="auto"/>
              <w:ind w:left="165" w:right="161"/>
              <w:jc w:val="center"/>
              <w:rPr>
                <w:sz w:val="21"/>
                <w:lang w:eastAsia="zh-CN"/>
              </w:rPr>
            </w:pPr>
            <w:r>
              <w:rPr>
                <w:rFonts w:hint="eastAsia"/>
                <w:spacing w:val="-2"/>
                <w:sz w:val="21"/>
                <w:lang w:eastAsia="zh-CN"/>
              </w:rPr>
              <w:t>卧室分户墙和卧室分户楼板两侧房间之间的空气声隔声性能(计权标准化声压级差与交通噪声频谱修正量之和DnT,w+Ctr)≥50dB卧室分户楼板的撞击声隔声性能(计权标准化撞击声压级LnT,w)≤55dB</w:t>
            </w:r>
          </w:p>
        </w:tc>
        <w:tc>
          <w:tcPr>
            <w:tcW w:w="1323" w:type="dxa"/>
            <w:shd w:val="clear" w:color="auto" w:fill="auto"/>
          </w:tcPr>
          <w:p w14:paraId="19F5B8E9">
            <w:pPr>
              <w:pStyle w:val="9"/>
              <w:spacing w:before="51"/>
              <w:ind w:left="102" w:right="104"/>
              <w:jc w:val="center"/>
              <w:rPr>
                <w:spacing w:val="-5"/>
                <w:sz w:val="21"/>
              </w:rPr>
            </w:pPr>
          </w:p>
        </w:tc>
      </w:tr>
      <w:tr w14:paraId="39147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exact"/>
        </w:trPr>
        <w:tc>
          <w:tcPr>
            <w:tcW w:w="643" w:type="dxa"/>
            <w:vMerge w:val="continue"/>
            <w:shd w:val="clear" w:color="auto" w:fill="auto"/>
          </w:tcPr>
          <w:p w14:paraId="62D801ED">
            <w:pPr>
              <w:pStyle w:val="9"/>
              <w:rPr>
                <w:rFonts w:ascii="Times New Roman"/>
                <w:sz w:val="20"/>
              </w:rPr>
            </w:pPr>
          </w:p>
        </w:tc>
        <w:tc>
          <w:tcPr>
            <w:tcW w:w="1654" w:type="dxa"/>
            <w:gridSpan w:val="2"/>
            <w:vMerge w:val="restart"/>
            <w:shd w:val="clear" w:color="auto" w:fill="auto"/>
          </w:tcPr>
          <w:p w14:paraId="19AC398F">
            <w:pPr>
              <w:pStyle w:val="9"/>
              <w:spacing w:before="1" w:line="250" w:lineRule="exact"/>
              <w:ind w:left="191"/>
              <w:rPr>
                <w:spacing w:val="-4"/>
                <w:sz w:val="21"/>
              </w:rPr>
            </w:pPr>
            <w:r>
              <w:rPr>
                <w:spacing w:val="-4"/>
                <w:sz w:val="21"/>
              </w:rPr>
              <w:t>室内主要空气</w:t>
            </w:r>
          </w:p>
          <w:p w14:paraId="7AA019E2">
            <w:pPr>
              <w:pStyle w:val="9"/>
              <w:spacing w:before="1" w:line="251" w:lineRule="exact"/>
              <w:ind w:left="191"/>
              <w:rPr>
                <w:sz w:val="21"/>
              </w:rPr>
            </w:pPr>
            <w:r>
              <w:rPr>
                <w:spacing w:val="-4"/>
                <w:sz w:val="21"/>
              </w:rPr>
              <w:t>污染物浓度降</w:t>
            </w:r>
          </w:p>
          <w:p w14:paraId="53043935">
            <w:pPr>
              <w:pStyle w:val="9"/>
              <w:spacing w:before="2" w:line="250" w:lineRule="exact"/>
              <w:ind w:left="506"/>
              <w:rPr>
                <w:sz w:val="21"/>
              </w:rPr>
            </w:pPr>
            <w:r>
              <w:rPr>
                <w:spacing w:val="-4"/>
                <w:sz w:val="21"/>
              </w:rPr>
              <w:t>低比例</w:t>
            </w:r>
          </w:p>
        </w:tc>
        <w:tc>
          <w:tcPr>
            <w:tcW w:w="1330" w:type="dxa"/>
            <w:gridSpan w:val="2"/>
            <w:shd w:val="clear" w:color="auto" w:fill="auto"/>
          </w:tcPr>
          <w:p w14:paraId="0AACDFAC">
            <w:pPr>
              <w:pStyle w:val="9"/>
              <w:spacing w:before="51"/>
              <w:ind w:left="435" w:right="435"/>
              <w:jc w:val="center"/>
              <w:rPr>
                <w:sz w:val="21"/>
              </w:rPr>
            </w:pPr>
            <w:r>
              <w:rPr>
                <w:spacing w:val="-5"/>
                <w:sz w:val="21"/>
              </w:rPr>
              <w:t>一星</w:t>
            </w:r>
          </w:p>
        </w:tc>
        <w:tc>
          <w:tcPr>
            <w:tcW w:w="4226" w:type="dxa"/>
            <w:gridSpan w:val="4"/>
            <w:shd w:val="clear" w:color="auto" w:fill="auto"/>
          </w:tcPr>
          <w:p w14:paraId="4A0E2123">
            <w:pPr>
              <w:pStyle w:val="9"/>
              <w:spacing w:before="58"/>
              <w:ind w:left="161" w:right="161"/>
              <w:jc w:val="center"/>
              <w:rPr>
                <w:rFonts w:ascii="Times New Roman"/>
                <w:sz w:val="21"/>
              </w:rPr>
            </w:pPr>
            <w:r>
              <w:rPr>
                <w:rFonts w:ascii="Times New Roman"/>
                <w:spacing w:val="-5"/>
                <w:sz w:val="21"/>
              </w:rPr>
              <w:t>10%</w:t>
            </w:r>
          </w:p>
        </w:tc>
        <w:tc>
          <w:tcPr>
            <w:tcW w:w="1323" w:type="dxa"/>
            <w:shd w:val="clear" w:color="auto" w:fill="auto"/>
          </w:tcPr>
          <w:p w14:paraId="41873403">
            <w:pPr>
              <w:pStyle w:val="9"/>
              <w:jc w:val="center"/>
              <w:rPr>
                <w:rFonts w:ascii="Times New Roman"/>
                <w:sz w:val="20"/>
              </w:rPr>
            </w:pPr>
          </w:p>
        </w:tc>
      </w:tr>
      <w:tr w14:paraId="4DF7D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40" w:hRule="exact"/>
        </w:trPr>
        <w:tc>
          <w:tcPr>
            <w:tcW w:w="643" w:type="dxa"/>
            <w:vMerge w:val="continue"/>
            <w:shd w:val="clear" w:color="auto" w:fill="auto"/>
          </w:tcPr>
          <w:p w14:paraId="539A86DD">
            <w:pPr>
              <w:rPr>
                <w:sz w:val="2"/>
                <w:szCs w:val="2"/>
              </w:rPr>
            </w:pPr>
          </w:p>
        </w:tc>
        <w:tc>
          <w:tcPr>
            <w:tcW w:w="1654" w:type="dxa"/>
            <w:gridSpan w:val="2"/>
            <w:vMerge w:val="continue"/>
            <w:shd w:val="clear" w:color="auto" w:fill="auto"/>
          </w:tcPr>
          <w:p w14:paraId="1D63248B">
            <w:pPr>
              <w:rPr>
                <w:sz w:val="2"/>
                <w:szCs w:val="2"/>
              </w:rPr>
            </w:pPr>
          </w:p>
        </w:tc>
        <w:tc>
          <w:tcPr>
            <w:tcW w:w="1330" w:type="dxa"/>
            <w:gridSpan w:val="2"/>
            <w:shd w:val="clear" w:color="auto" w:fill="auto"/>
          </w:tcPr>
          <w:p w14:paraId="78B5A5FD">
            <w:pPr>
              <w:pStyle w:val="9"/>
              <w:spacing w:before="82"/>
              <w:ind w:left="134"/>
              <w:rPr>
                <w:sz w:val="21"/>
              </w:rPr>
            </w:pPr>
            <w:r>
              <w:rPr>
                <w:spacing w:val="-4"/>
                <w:sz w:val="21"/>
              </w:rPr>
              <w:t>二星、三星</w:t>
            </w:r>
          </w:p>
        </w:tc>
        <w:tc>
          <w:tcPr>
            <w:tcW w:w="4226" w:type="dxa"/>
            <w:gridSpan w:val="4"/>
            <w:shd w:val="clear" w:color="auto" w:fill="auto"/>
          </w:tcPr>
          <w:p w14:paraId="7D9ED9A5">
            <w:pPr>
              <w:pStyle w:val="9"/>
              <w:spacing w:before="89"/>
              <w:ind w:left="161" w:right="161"/>
              <w:jc w:val="center"/>
              <w:rPr>
                <w:rFonts w:ascii="Times New Roman"/>
                <w:sz w:val="21"/>
              </w:rPr>
            </w:pPr>
            <w:r>
              <w:rPr>
                <w:rFonts w:ascii="Times New Roman"/>
                <w:spacing w:val="-5"/>
                <w:sz w:val="21"/>
              </w:rPr>
              <w:t>20%</w:t>
            </w:r>
          </w:p>
        </w:tc>
        <w:tc>
          <w:tcPr>
            <w:tcW w:w="1323" w:type="dxa"/>
            <w:shd w:val="clear" w:color="auto" w:fill="auto"/>
          </w:tcPr>
          <w:p w14:paraId="0F407A76">
            <w:pPr>
              <w:pStyle w:val="9"/>
              <w:spacing w:before="82"/>
              <w:ind w:left="462" w:right="464"/>
              <w:jc w:val="center"/>
              <w:rPr>
                <w:sz w:val="21"/>
              </w:rPr>
            </w:pPr>
          </w:p>
        </w:tc>
      </w:tr>
      <w:tr w14:paraId="40F5D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exact"/>
        </w:trPr>
        <w:tc>
          <w:tcPr>
            <w:tcW w:w="643" w:type="dxa"/>
            <w:vMerge w:val="continue"/>
            <w:shd w:val="clear" w:color="auto" w:fill="auto"/>
          </w:tcPr>
          <w:p w14:paraId="33AD7011">
            <w:pPr>
              <w:pStyle w:val="9"/>
              <w:jc w:val="center"/>
              <w:rPr>
                <w:rFonts w:ascii="Times New Roman"/>
                <w:sz w:val="20"/>
              </w:rPr>
            </w:pPr>
          </w:p>
        </w:tc>
        <w:tc>
          <w:tcPr>
            <w:tcW w:w="1654" w:type="dxa"/>
            <w:gridSpan w:val="2"/>
            <w:vMerge w:val="restart"/>
            <w:tcBorders>
              <w:top w:val="nil"/>
            </w:tcBorders>
            <w:shd w:val="clear" w:color="auto" w:fill="auto"/>
          </w:tcPr>
          <w:p w14:paraId="576BCCD9">
            <w:pPr>
              <w:pStyle w:val="9"/>
              <w:spacing w:before="2" w:line="250" w:lineRule="exact"/>
              <w:jc w:val="center"/>
              <w:rPr>
                <w:spacing w:val="-4"/>
                <w:sz w:val="21"/>
              </w:rPr>
            </w:pPr>
            <w:r>
              <w:rPr>
                <w:rFonts w:hint="eastAsia"/>
                <w:spacing w:val="-4"/>
                <w:sz w:val="21"/>
              </w:rPr>
              <w:t>绿色建材应用比例</w:t>
            </w:r>
          </w:p>
        </w:tc>
        <w:tc>
          <w:tcPr>
            <w:tcW w:w="1330" w:type="dxa"/>
            <w:gridSpan w:val="2"/>
            <w:tcBorders>
              <w:top w:val="nil"/>
            </w:tcBorders>
            <w:shd w:val="clear" w:color="auto" w:fill="auto"/>
          </w:tcPr>
          <w:p w14:paraId="52B6BB8C">
            <w:pPr>
              <w:jc w:val="center"/>
              <w:rPr>
                <w:sz w:val="2"/>
                <w:szCs w:val="2"/>
              </w:rPr>
            </w:pPr>
            <w:r>
              <w:rPr>
                <w:spacing w:val="-5"/>
                <w:sz w:val="21"/>
              </w:rPr>
              <w:t>一星</w:t>
            </w:r>
          </w:p>
        </w:tc>
        <w:tc>
          <w:tcPr>
            <w:tcW w:w="4226" w:type="dxa"/>
            <w:gridSpan w:val="4"/>
            <w:tcBorders>
              <w:top w:val="nil"/>
            </w:tcBorders>
            <w:shd w:val="clear" w:color="auto" w:fill="auto"/>
            <w:vAlign w:val="top"/>
          </w:tcPr>
          <w:p w14:paraId="5591901B">
            <w:pPr>
              <w:pStyle w:val="9"/>
              <w:spacing w:before="58"/>
              <w:ind w:left="161" w:leftChars="0" w:right="161" w:rightChars="0"/>
              <w:jc w:val="center"/>
              <w:rPr>
                <w:sz w:val="2"/>
                <w:szCs w:val="2"/>
              </w:rPr>
            </w:pPr>
            <w:r>
              <w:rPr>
                <w:rFonts w:ascii="Times New Roman"/>
                <w:spacing w:val="-5"/>
                <w:sz w:val="21"/>
              </w:rPr>
              <w:t>10%</w:t>
            </w:r>
          </w:p>
        </w:tc>
        <w:tc>
          <w:tcPr>
            <w:tcW w:w="1323" w:type="dxa"/>
            <w:tcBorders>
              <w:top w:val="nil"/>
            </w:tcBorders>
            <w:shd w:val="clear" w:color="auto" w:fill="auto"/>
          </w:tcPr>
          <w:p w14:paraId="1D18CF23">
            <w:pPr>
              <w:jc w:val="center"/>
              <w:rPr>
                <w:sz w:val="2"/>
                <w:szCs w:val="2"/>
              </w:rPr>
            </w:pPr>
          </w:p>
        </w:tc>
      </w:tr>
      <w:tr w14:paraId="499FD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exact"/>
        </w:trPr>
        <w:tc>
          <w:tcPr>
            <w:tcW w:w="643" w:type="dxa"/>
            <w:vMerge w:val="continue"/>
            <w:shd w:val="clear" w:color="auto" w:fill="auto"/>
          </w:tcPr>
          <w:p w14:paraId="2789D4D2">
            <w:pPr>
              <w:pStyle w:val="9"/>
              <w:rPr>
                <w:rFonts w:ascii="Times New Roman"/>
                <w:sz w:val="20"/>
              </w:rPr>
            </w:pPr>
          </w:p>
        </w:tc>
        <w:tc>
          <w:tcPr>
            <w:tcW w:w="1654" w:type="dxa"/>
            <w:gridSpan w:val="2"/>
            <w:vMerge w:val="continue"/>
            <w:shd w:val="clear" w:color="auto" w:fill="auto"/>
          </w:tcPr>
          <w:p w14:paraId="70EC7F8B">
            <w:pPr>
              <w:pStyle w:val="9"/>
              <w:spacing w:before="2" w:line="250" w:lineRule="exact"/>
              <w:ind w:left="506"/>
              <w:rPr>
                <w:spacing w:val="-4"/>
                <w:sz w:val="21"/>
              </w:rPr>
            </w:pPr>
          </w:p>
        </w:tc>
        <w:tc>
          <w:tcPr>
            <w:tcW w:w="1330" w:type="dxa"/>
            <w:gridSpan w:val="2"/>
            <w:tcBorders>
              <w:top w:val="nil"/>
            </w:tcBorders>
            <w:shd w:val="clear" w:color="auto" w:fill="auto"/>
          </w:tcPr>
          <w:p w14:paraId="79E4E2AE">
            <w:pPr>
              <w:jc w:val="center"/>
              <w:rPr>
                <w:sz w:val="2"/>
                <w:szCs w:val="2"/>
              </w:rPr>
            </w:pPr>
            <w:r>
              <w:rPr>
                <w:spacing w:val="-4"/>
                <w:sz w:val="21"/>
              </w:rPr>
              <w:t>二星</w:t>
            </w:r>
          </w:p>
        </w:tc>
        <w:tc>
          <w:tcPr>
            <w:tcW w:w="4226" w:type="dxa"/>
            <w:gridSpan w:val="4"/>
            <w:tcBorders>
              <w:top w:val="nil"/>
            </w:tcBorders>
            <w:shd w:val="clear" w:color="auto" w:fill="auto"/>
            <w:vAlign w:val="top"/>
          </w:tcPr>
          <w:p w14:paraId="754BC198">
            <w:pPr>
              <w:pStyle w:val="9"/>
              <w:spacing w:before="89"/>
              <w:ind w:left="161" w:leftChars="0" w:right="161" w:rightChars="0"/>
              <w:jc w:val="center"/>
              <w:rPr>
                <w:sz w:val="2"/>
                <w:szCs w:val="2"/>
              </w:rPr>
            </w:pPr>
            <w:r>
              <w:rPr>
                <w:rFonts w:ascii="Times New Roman"/>
                <w:spacing w:val="-5"/>
                <w:sz w:val="21"/>
              </w:rPr>
              <w:t>20%</w:t>
            </w:r>
          </w:p>
        </w:tc>
        <w:tc>
          <w:tcPr>
            <w:tcW w:w="1323" w:type="dxa"/>
            <w:tcBorders>
              <w:top w:val="nil"/>
            </w:tcBorders>
            <w:shd w:val="clear" w:color="auto" w:fill="auto"/>
          </w:tcPr>
          <w:p w14:paraId="1223222D">
            <w:pPr>
              <w:rPr>
                <w:sz w:val="2"/>
                <w:szCs w:val="2"/>
              </w:rPr>
            </w:pPr>
          </w:p>
        </w:tc>
      </w:tr>
      <w:tr w14:paraId="3CD37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exact"/>
        </w:trPr>
        <w:tc>
          <w:tcPr>
            <w:tcW w:w="643" w:type="dxa"/>
            <w:vMerge w:val="continue"/>
            <w:shd w:val="clear" w:color="auto" w:fill="auto"/>
          </w:tcPr>
          <w:p w14:paraId="571D9157">
            <w:pPr>
              <w:pStyle w:val="9"/>
              <w:rPr>
                <w:rFonts w:ascii="Times New Roman"/>
                <w:sz w:val="20"/>
              </w:rPr>
            </w:pPr>
          </w:p>
        </w:tc>
        <w:tc>
          <w:tcPr>
            <w:tcW w:w="1654" w:type="dxa"/>
            <w:gridSpan w:val="2"/>
            <w:vMerge w:val="continue"/>
            <w:shd w:val="clear" w:color="auto" w:fill="auto"/>
          </w:tcPr>
          <w:p w14:paraId="61E8AA09">
            <w:pPr>
              <w:pStyle w:val="9"/>
              <w:spacing w:before="2" w:line="250" w:lineRule="exact"/>
              <w:ind w:left="506"/>
              <w:rPr>
                <w:spacing w:val="-4"/>
                <w:sz w:val="21"/>
              </w:rPr>
            </w:pPr>
          </w:p>
        </w:tc>
        <w:tc>
          <w:tcPr>
            <w:tcW w:w="1330" w:type="dxa"/>
            <w:gridSpan w:val="2"/>
            <w:tcBorders>
              <w:top w:val="nil"/>
            </w:tcBorders>
            <w:shd w:val="clear" w:color="auto" w:fill="auto"/>
          </w:tcPr>
          <w:p w14:paraId="52272002">
            <w:pPr>
              <w:jc w:val="center"/>
              <w:rPr>
                <w:sz w:val="2"/>
                <w:szCs w:val="2"/>
              </w:rPr>
            </w:pPr>
            <w:r>
              <w:rPr>
                <w:spacing w:val="-4"/>
                <w:sz w:val="21"/>
              </w:rPr>
              <w:t>三星</w:t>
            </w:r>
          </w:p>
        </w:tc>
        <w:tc>
          <w:tcPr>
            <w:tcW w:w="4226" w:type="dxa"/>
            <w:gridSpan w:val="4"/>
            <w:tcBorders>
              <w:top w:val="nil"/>
            </w:tcBorders>
            <w:shd w:val="clear" w:color="auto" w:fill="auto"/>
            <w:vAlign w:val="top"/>
          </w:tcPr>
          <w:p w14:paraId="36E50285">
            <w:pPr>
              <w:pStyle w:val="9"/>
              <w:spacing w:before="58"/>
              <w:ind w:left="161" w:leftChars="0" w:right="161" w:rightChars="0"/>
              <w:jc w:val="center"/>
              <w:rPr>
                <w:sz w:val="2"/>
                <w:szCs w:val="2"/>
              </w:rPr>
            </w:pPr>
            <w:r>
              <w:rPr>
                <w:rFonts w:hint="eastAsia" w:ascii="Times New Roman"/>
                <w:spacing w:val="-5"/>
                <w:sz w:val="21"/>
                <w:lang w:val="en-US" w:eastAsia="zh-CN"/>
              </w:rPr>
              <w:t>3</w:t>
            </w:r>
            <w:r>
              <w:rPr>
                <w:rFonts w:ascii="Times New Roman"/>
                <w:spacing w:val="-5"/>
                <w:sz w:val="21"/>
              </w:rPr>
              <w:t>0%</w:t>
            </w:r>
          </w:p>
        </w:tc>
        <w:tc>
          <w:tcPr>
            <w:tcW w:w="1323" w:type="dxa"/>
            <w:tcBorders>
              <w:top w:val="nil"/>
            </w:tcBorders>
            <w:shd w:val="clear" w:color="auto" w:fill="auto"/>
          </w:tcPr>
          <w:p w14:paraId="2F36A99B">
            <w:pPr>
              <w:rPr>
                <w:sz w:val="2"/>
                <w:szCs w:val="2"/>
              </w:rPr>
            </w:pPr>
          </w:p>
        </w:tc>
      </w:tr>
      <w:tr w14:paraId="1D041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exact"/>
        </w:trPr>
        <w:tc>
          <w:tcPr>
            <w:tcW w:w="643" w:type="dxa"/>
            <w:vMerge w:val="continue"/>
            <w:tcBorders>
              <w:bottom w:val="nil"/>
            </w:tcBorders>
            <w:shd w:val="clear" w:color="auto" w:fill="auto"/>
          </w:tcPr>
          <w:p w14:paraId="7733DBA5">
            <w:pPr>
              <w:pStyle w:val="9"/>
              <w:rPr>
                <w:rFonts w:ascii="Times New Roman"/>
                <w:sz w:val="20"/>
              </w:rPr>
            </w:pPr>
          </w:p>
        </w:tc>
        <w:tc>
          <w:tcPr>
            <w:tcW w:w="1654" w:type="dxa"/>
            <w:gridSpan w:val="2"/>
            <w:shd w:val="clear" w:color="auto" w:fill="auto"/>
          </w:tcPr>
          <w:p w14:paraId="29533796">
            <w:pPr>
              <w:pStyle w:val="9"/>
              <w:spacing w:before="2" w:line="250" w:lineRule="exact"/>
              <w:ind w:left="506"/>
              <w:rPr>
                <w:spacing w:val="-4"/>
                <w:sz w:val="21"/>
              </w:rPr>
            </w:pPr>
            <w:r>
              <w:rPr>
                <w:rFonts w:hint="eastAsia"/>
                <w:spacing w:val="-4"/>
                <w:sz w:val="21"/>
              </w:rPr>
              <w:t>碳减排</w:t>
            </w:r>
          </w:p>
        </w:tc>
        <w:tc>
          <w:tcPr>
            <w:tcW w:w="5556" w:type="dxa"/>
            <w:gridSpan w:val="6"/>
            <w:tcBorders>
              <w:top w:val="nil"/>
            </w:tcBorders>
            <w:shd w:val="clear" w:color="auto" w:fill="auto"/>
          </w:tcPr>
          <w:p w14:paraId="77EEB64D">
            <w:pPr>
              <w:pStyle w:val="9"/>
              <w:spacing w:before="58"/>
              <w:ind w:left="161" w:leftChars="0" w:right="161" w:rightChars="0"/>
              <w:jc w:val="center"/>
              <w:rPr>
                <w:rFonts w:hint="eastAsia" w:ascii="Times New Roman"/>
                <w:spacing w:val="-5"/>
                <w:sz w:val="21"/>
                <w:lang w:val="en-US" w:eastAsia="zh-CN"/>
              </w:rPr>
            </w:pPr>
            <w:r>
              <w:rPr>
                <w:rFonts w:hint="eastAsia" w:ascii="Times New Roman"/>
                <w:spacing w:val="-5"/>
                <w:sz w:val="21"/>
                <w:lang w:val="en-US" w:eastAsia="zh-CN"/>
              </w:rPr>
              <w:t>明确全寿命期建筑碳排放强度，并明确降低碳排放强度的技术措施。</w:t>
            </w:r>
          </w:p>
        </w:tc>
        <w:tc>
          <w:tcPr>
            <w:tcW w:w="1323" w:type="dxa"/>
            <w:tcBorders>
              <w:top w:val="nil"/>
            </w:tcBorders>
            <w:shd w:val="clear" w:color="auto" w:fill="auto"/>
          </w:tcPr>
          <w:p w14:paraId="34731E93">
            <w:pPr>
              <w:jc w:val="center"/>
              <w:rPr>
                <w:sz w:val="2"/>
                <w:szCs w:val="2"/>
              </w:rPr>
            </w:pPr>
          </w:p>
        </w:tc>
      </w:tr>
      <w:tr w14:paraId="4E082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exact"/>
        </w:trPr>
        <w:tc>
          <w:tcPr>
            <w:tcW w:w="643" w:type="dxa"/>
            <w:tcBorders>
              <w:top w:val="nil"/>
            </w:tcBorders>
            <w:shd w:val="clear" w:color="auto" w:fill="auto"/>
          </w:tcPr>
          <w:p w14:paraId="4006362E">
            <w:pPr>
              <w:pStyle w:val="9"/>
              <w:rPr>
                <w:rFonts w:ascii="Times New Roman"/>
                <w:sz w:val="20"/>
              </w:rPr>
            </w:pPr>
          </w:p>
        </w:tc>
        <w:tc>
          <w:tcPr>
            <w:tcW w:w="1654" w:type="dxa"/>
            <w:gridSpan w:val="2"/>
            <w:shd w:val="clear" w:color="auto" w:fill="auto"/>
          </w:tcPr>
          <w:p w14:paraId="018E8769">
            <w:pPr>
              <w:pStyle w:val="9"/>
              <w:spacing w:before="5"/>
              <w:rPr>
                <w:sz w:val="15"/>
              </w:rPr>
            </w:pPr>
          </w:p>
          <w:p w14:paraId="3A57A37F">
            <w:pPr>
              <w:pStyle w:val="9"/>
              <w:ind w:left="191"/>
              <w:rPr>
                <w:sz w:val="21"/>
              </w:rPr>
            </w:pPr>
            <w:r>
              <w:rPr>
                <w:spacing w:val="-4"/>
                <w:sz w:val="21"/>
              </w:rPr>
              <w:t>外窗气密性能</w:t>
            </w:r>
          </w:p>
        </w:tc>
        <w:tc>
          <w:tcPr>
            <w:tcW w:w="5556" w:type="dxa"/>
            <w:gridSpan w:val="6"/>
            <w:shd w:val="clear" w:color="auto" w:fill="auto"/>
          </w:tcPr>
          <w:p w14:paraId="6FBBC507">
            <w:pPr>
              <w:pStyle w:val="9"/>
              <w:spacing w:before="63" w:line="242" w:lineRule="auto"/>
              <w:ind w:left="827" w:right="196" w:hanging="629"/>
              <w:rPr>
                <w:sz w:val="21"/>
                <w:lang w:eastAsia="zh-CN"/>
              </w:rPr>
            </w:pPr>
            <w:r>
              <w:rPr>
                <w:spacing w:val="-2"/>
                <w:sz w:val="21"/>
                <w:lang w:eastAsia="zh-CN"/>
              </w:rPr>
              <w:t>符合国家现行相关节能设计标准的规定，且外窗洞口与外窗本体的结合部位应严密</w:t>
            </w:r>
          </w:p>
        </w:tc>
        <w:tc>
          <w:tcPr>
            <w:tcW w:w="1323" w:type="dxa"/>
            <w:shd w:val="clear" w:color="auto" w:fill="auto"/>
          </w:tcPr>
          <w:p w14:paraId="236F4BC1">
            <w:pPr>
              <w:pStyle w:val="9"/>
              <w:ind w:left="102" w:right="104"/>
              <w:jc w:val="center"/>
              <w:rPr>
                <w:sz w:val="21"/>
              </w:rPr>
            </w:pPr>
          </w:p>
        </w:tc>
      </w:tr>
      <w:tr w14:paraId="3F112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451" w:hRule="exact"/>
        </w:trPr>
        <w:tc>
          <w:tcPr>
            <w:tcW w:w="7853" w:type="dxa"/>
            <w:gridSpan w:val="9"/>
            <w:shd w:val="clear" w:color="auto" w:fill="auto"/>
          </w:tcPr>
          <w:p w14:paraId="78256A2D">
            <w:pPr>
              <w:pStyle w:val="9"/>
              <w:spacing w:before="125"/>
              <w:ind w:left="273"/>
              <w:rPr>
                <w:sz w:val="21"/>
              </w:rPr>
            </w:pPr>
            <w:r>
              <w:rPr>
                <w:rFonts w:ascii="Times New Roman" w:eastAsia="Times New Roman"/>
                <w:position w:val="2"/>
                <w:sz w:val="21"/>
              </w:rPr>
              <w:t>4</w:t>
            </w:r>
            <w:r>
              <w:rPr>
                <w:position w:val="2"/>
                <w:sz w:val="21"/>
              </w:rPr>
              <w:t>、得分情况（</w:t>
            </w:r>
            <w:r>
              <w:rPr>
                <w:spacing w:val="-1"/>
                <w:position w:val="2"/>
                <w:sz w:val="21"/>
              </w:rPr>
              <w:t xml:space="preserve">注：总得分 </w:t>
            </w:r>
            <w:r>
              <w:rPr>
                <w:rFonts w:ascii="Times New Roman" w:eastAsia="Times New Roman"/>
                <w:position w:val="2"/>
                <w:sz w:val="21"/>
              </w:rPr>
              <w:t>Q</w:t>
            </w:r>
            <w:r>
              <w:rPr>
                <w:rFonts w:ascii="Times New Roman" w:eastAsia="Times New Roman"/>
                <w:spacing w:val="-2"/>
                <w:position w:val="2"/>
                <w:sz w:val="21"/>
              </w:rPr>
              <w:t xml:space="preserve"> =</w:t>
            </w:r>
            <w:r>
              <w:rPr>
                <w:position w:val="2"/>
                <w:sz w:val="21"/>
              </w:rPr>
              <w:t>（</w:t>
            </w:r>
            <w:r>
              <w:rPr>
                <w:rFonts w:ascii="Times New Roman" w:eastAsia="Times New Roman"/>
                <w:position w:val="2"/>
                <w:sz w:val="21"/>
              </w:rPr>
              <w:t>Q</w:t>
            </w:r>
            <w:r>
              <w:rPr>
                <w:rFonts w:ascii="Times New Roman" w:eastAsia="Times New Roman"/>
                <w:sz w:val="14"/>
              </w:rPr>
              <w:t>0</w:t>
            </w:r>
            <w:r>
              <w:rPr>
                <w:rFonts w:ascii="Times New Roman" w:eastAsia="Times New Roman"/>
                <w:spacing w:val="-3"/>
                <w:sz w:val="14"/>
              </w:rPr>
              <w:t xml:space="preserve"> </w:t>
            </w:r>
            <w:r>
              <w:rPr>
                <w:rFonts w:ascii="Times New Roman" w:eastAsia="Times New Roman"/>
                <w:spacing w:val="-1"/>
                <w:position w:val="2"/>
                <w:sz w:val="21"/>
              </w:rPr>
              <w:t xml:space="preserve">+ </w:t>
            </w:r>
            <w:r>
              <w:rPr>
                <w:rFonts w:ascii="Times New Roman" w:eastAsia="Times New Roman"/>
                <w:position w:val="2"/>
                <w:sz w:val="21"/>
              </w:rPr>
              <w:t>Q</w:t>
            </w:r>
            <w:r>
              <w:rPr>
                <w:rFonts w:ascii="Times New Roman" w:eastAsia="Times New Roman"/>
                <w:sz w:val="14"/>
              </w:rPr>
              <w:t>1</w:t>
            </w:r>
            <w:r>
              <w:rPr>
                <w:rFonts w:ascii="Times New Roman" w:eastAsia="Times New Roman"/>
                <w:spacing w:val="-4"/>
                <w:sz w:val="14"/>
              </w:rPr>
              <w:t xml:space="preserve"> </w:t>
            </w:r>
            <w:r>
              <w:rPr>
                <w:rFonts w:ascii="Times New Roman" w:eastAsia="Times New Roman"/>
                <w:spacing w:val="-1"/>
                <w:position w:val="2"/>
                <w:sz w:val="21"/>
              </w:rPr>
              <w:t xml:space="preserve">+ </w:t>
            </w:r>
            <w:r>
              <w:rPr>
                <w:rFonts w:ascii="Times New Roman" w:eastAsia="Times New Roman"/>
                <w:position w:val="2"/>
                <w:sz w:val="21"/>
              </w:rPr>
              <w:t>Q</w:t>
            </w:r>
            <w:r>
              <w:rPr>
                <w:rFonts w:ascii="Times New Roman" w:eastAsia="Times New Roman"/>
                <w:sz w:val="14"/>
              </w:rPr>
              <w:t>2</w:t>
            </w:r>
            <w:r>
              <w:rPr>
                <w:rFonts w:ascii="Times New Roman" w:eastAsia="Times New Roman"/>
                <w:spacing w:val="-3"/>
                <w:sz w:val="14"/>
              </w:rPr>
              <w:t xml:space="preserve"> </w:t>
            </w:r>
            <w:r>
              <w:rPr>
                <w:rFonts w:ascii="Times New Roman" w:eastAsia="Times New Roman"/>
                <w:spacing w:val="-2"/>
                <w:position w:val="2"/>
                <w:sz w:val="21"/>
              </w:rPr>
              <w:t xml:space="preserve">+ </w:t>
            </w:r>
            <w:r>
              <w:rPr>
                <w:rFonts w:ascii="Times New Roman" w:eastAsia="Times New Roman"/>
                <w:position w:val="2"/>
                <w:sz w:val="21"/>
              </w:rPr>
              <w:t>Q</w:t>
            </w:r>
            <w:r>
              <w:rPr>
                <w:rFonts w:ascii="Times New Roman" w:eastAsia="Times New Roman"/>
                <w:sz w:val="14"/>
              </w:rPr>
              <w:t xml:space="preserve">3 </w:t>
            </w:r>
            <w:r>
              <w:rPr>
                <w:rFonts w:ascii="Times New Roman" w:eastAsia="Times New Roman"/>
                <w:spacing w:val="-3"/>
                <w:position w:val="2"/>
                <w:sz w:val="21"/>
              </w:rPr>
              <w:t xml:space="preserve">+ </w:t>
            </w:r>
            <w:r>
              <w:rPr>
                <w:rFonts w:ascii="Times New Roman" w:eastAsia="Times New Roman"/>
                <w:position w:val="2"/>
                <w:sz w:val="21"/>
              </w:rPr>
              <w:t>Q</w:t>
            </w:r>
            <w:r>
              <w:rPr>
                <w:rFonts w:ascii="Times New Roman" w:eastAsia="Times New Roman"/>
                <w:sz w:val="14"/>
              </w:rPr>
              <w:t>4</w:t>
            </w:r>
            <w:r>
              <w:rPr>
                <w:rFonts w:ascii="Times New Roman" w:eastAsia="Times New Roman"/>
                <w:spacing w:val="-3"/>
                <w:sz w:val="14"/>
              </w:rPr>
              <w:t xml:space="preserve"> </w:t>
            </w:r>
            <w:r>
              <w:rPr>
                <w:rFonts w:ascii="Times New Roman" w:eastAsia="Times New Roman"/>
                <w:spacing w:val="-2"/>
                <w:position w:val="2"/>
                <w:sz w:val="21"/>
              </w:rPr>
              <w:t xml:space="preserve">+ </w:t>
            </w:r>
            <w:r>
              <w:rPr>
                <w:rFonts w:ascii="Times New Roman" w:eastAsia="Times New Roman"/>
                <w:position w:val="2"/>
                <w:sz w:val="21"/>
              </w:rPr>
              <w:t>Q</w:t>
            </w:r>
            <w:r>
              <w:rPr>
                <w:rFonts w:ascii="Times New Roman" w:eastAsia="Times New Roman"/>
                <w:sz w:val="14"/>
              </w:rPr>
              <w:t>5</w:t>
            </w:r>
            <w:r>
              <w:rPr>
                <w:rFonts w:ascii="Times New Roman" w:eastAsia="Times New Roman"/>
                <w:spacing w:val="-3"/>
                <w:sz w:val="14"/>
              </w:rPr>
              <w:t xml:space="preserve"> </w:t>
            </w:r>
            <w:r>
              <w:rPr>
                <w:rFonts w:ascii="Times New Roman" w:eastAsia="Times New Roman"/>
                <w:spacing w:val="-1"/>
                <w:position w:val="2"/>
                <w:sz w:val="21"/>
              </w:rPr>
              <w:t xml:space="preserve">+ </w:t>
            </w:r>
            <w:r>
              <w:rPr>
                <w:rFonts w:ascii="Times New Roman" w:eastAsia="Times New Roman"/>
                <w:spacing w:val="-2"/>
                <w:position w:val="2"/>
                <w:sz w:val="21"/>
              </w:rPr>
              <w:t>Q</w:t>
            </w:r>
            <w:r>
              <w:rPr>
                <w:rFonts w:ascii="Times New Roman" w:eastAsia="Times New Roman"/>
                <w:spacing w:val="-2"/>
                <w:sz w:val="14"/>
              </w:rPr>
              <w:t>A</w:t>
            </w:r>
            <w:r>
              <w:rPr>
                <w:spacing w:val="-2"/>
                <w:position w:val="2"/>
                <w:sz w:val="21"/>
              </w:rPr>
              <w:t>）</w:t>
            </w:r>
            <w:r>
              <w:rPr>
                <w:rFonts w:ascii="Times New Roman" w:eastAsia="Times New Roman"/>
                <w:spacing w:val="-2"/>
                <w:position w:val="2"/>
                <w:sz w:val="21"/>
              </w:rPr>
              <w:t>/10</w:t>
            </w:r>
            <w:r>
              <w:rPr>
                <w:spacing w:val="-2"/>
                <w:position w:val="2"/>
                <w:sz w:val="21"/>
              </w:rPr>
              <w:t>）</w:t>
            </w:r>
          </w:p>
        </w:tc>
        <w:tc>
          <w:tcPr>
            <w:tcW w:w="1323" w:type="dxa"/>
            <w:shd w:val="clear" w:color="auto" w:fill="auto"/>
          </w:tcPr>
          <w:p w14:paraId="4AD41E6A">
            <w:pPr>
              <w:pStyle w:val="9"/>
              <w:spacing w:before="126"/>
              <w:ind w:left="102" w:right="104"/>
              <w:jc w:val="center"/>
              <w:rPr>
                <w:rFonts w:hint="default" w:ascii="Times New Roman" w:eastAsia="宋体"/>
                <w:b/>
                <w:sz w:val="21"/>
                <w:lang w:val="en-US" w:eastAsia="zh-CN"/>
              </w:rPr>
            </w:pPr>
            <w:r>
              <w:rPr>
                <w:spacing w:val="-14"/>
                <w:sz w:val="21"/>
              </w:rPr>
              <w:t xml:space="preserve">总得分 </w:t>
            </w:r>
          </w:p>
        </w:tc>
      </w:tr>
      <w:tr w14:paraId="4A40E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39" w:hRule="exact"/>
        </w:trPr>
        <w:tc>
          <w:tcPr>
            <w:tcW w:w="643" w:type="dxa"/>
            <w:tcBorders>
              <w:bottom w:val="nil"/>
            </w:tcBorders>
            <w:shd w:val="clear" w:color="auto" w:fill="auto"/>
          </w:tcPr>
          <w:p w14:paraId="2FC10AD3">
            <w:pPr>
              <w:pStyle w:val="9"/>
              <w:rPr>
                <w:rFonts w:ascii="Times New Roman"/>
                <w:sz w:val="20"/>
              </w:rPr>
            </w:pPr>
          </w:p>
        </w:tc>
        <w:tc>
          <w:tcPr>
            <w:tcW w:w="701" w:type="dxa"/>
            <w:vMerge w:val="restart"/>
            <w:shd w:val="clear" w:color="auto" w:fill="auto"/>
          </w:tcPr>
          <w:p w14:paraId="0206CACC">
            <w:pPr>
              <w:pStyle w:val="9"/>
              <w:rPr>
                <w:rFonts w:ascii="Times New Roman"/>
                <w:sz w:val="20"/>
              </w:rPr>
            </w:pPr>
          </w:p>
        </w:tc>
        <w:tc>
          <w:tcPr>
            <w:tcW w:w="953" w:type="dxa"/>
            <w:tcBorders>
              <w:bottom w:val="nil"/>
            </w:tcBorders>
            <w:shd w:val="clear" w:color="auto" w:fill="auto"/>
          </w:tcPr>
          <w:p w14:paraId="62644C62">
            <w:pPr>
              <w:pStyle w:val="9"/>
              <w:spacing w:before="63" w:line="251" w:lineRule="exact"/>
              <w:ind w:left="128" w:right="157"/>
              <w:jc w:val="center"/>
              <w:rPr>
                <w:sz w:val="21"/>
              </w:rPr>
            </w:pPr>
            <w:r>
              <w:rPr>
                <w:spacing w:val="-4"/>
                <w:sz w:val="21"/>
              </w:rPr>
              <w:t>控制项</w:t>
            </w:r>
          </w:p>
        </w:tc>
        <w:tc>
          <w:tcPr>
            <w:tcW w:w="5556" w:type="dxa"/>
            <w:gridSpan w:val="6"/>
            <w:vMerge w:val="restart"/>
            <w:shd w:val="clear" w:color="auto" w:fill="auto"/>
          </w:tcPr>
          <w:p w14:paraId="77006940">
            <w:pPr>
              <w:pStyle w:val="9"/>
              <w:spacing w:before="58"/>
              <w:ind w:left="1458"/>
              <w:rPr>
                <w:sz w:val="21"/>
              </w:rPr>
            </w:pPr>
            <w:r>
              <w:rPr>
                <w:spacing w:val="-3"/>
                <w:sz w:val="21"/>
              </w:rPr>
              <w:t>评价指标体系评分项</w:t>
            </w:r>
          </w:p>
        </w:tc>
        <w:tc>
          <w:tcPr>
            <w:tcW w:w="1323" w:type="dxa"/>
            <w:tcBorders>
              <w:bottom w:val="nil"/>
            </w:tcBorders>
            <w:shd w:val="clear" w:color="auto" w:fill="auto"/>
          </w:tcPr>
          <w:p w14:paraId="310116AC">
            <w:pPr>
              <w:pStyle w:val="9"/>
              <w:spacing w:before="63" w:line="251" w:lineRule="exact"/>
              <w:ind w:left="97" w:right="104"/>
              <w:jc w:val="center"/>
              <w:rPr>
                <w:sz w:val="21"/>
              </w:rPr>
            </w:pPr>
            <w:r>
              <w:rPr>
                <w:spacing w:val="-4"/>
                <w:sz w:val="21"/>
              </w:rPr>
              <w:t>提高与</w:t>
            </w:r>
          </w:p>
        </w:tc>
      </w:tr>
      <w:tr w14:paraId="6D306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 w:hRule="exact"/>
        </w:trPr>
        <w:tc>
          <w:tcPr>
            <w:tcW w:w="643" w:type="dxa"/>
            <w:vMerge w:val="restart"/>
            <w:tcBorders>
              <w:top w:val="nil"/>
              <w:bottom w:val="nil"/>
            </w:tcBorders>
            <w:shd w:val="clear" w:color="auto" w:fill="auto"/>
          </w:tcPr>
          <w:p w14:paraId="0538F3E8">
            <w:pPr>
              <w:pStyle w:val="9"/>
              <w:rPr>
                <w:rFonts w:ascii="Times New Roman"/>
                <w:sz w:val="20"/>
              </w:rPr>
            </w:pPr>
          </w:p>
        </w:tc>
        <w:tc>
          <w:tcPr>
            <w:tcW w:w="701" w:type="dxa"/>
            <w:vMerge w:val="continue"/>
            <w:tcBorders>
              <w:top w:val="nil"/>
            </w:tcBorders>
            <w:shd w:val="clear" w:color="auto" w:fill="auto"/>
          </w:tcPr>
          <w:p w14:paraId="47949F32">
            <w:pPr>
              <w:rPr>
                <w:sz w:val="2"/>
                <w:szCs w:val="2"/>
              </w:rPr>
            </w:pPr>
          </w:p>
        </w:tc>
        <w:tc>
          <w:tcPr>
            <w:tcW w:w="953" w:type="dxa"/>
            <w:vMerge w:val="restart"/>
            <w:tcBorders>
              <w:top w:val="nil"/>
              <w:bottom w:val="nil"/>
            </w:tcBorders>
            <w:shd w:val="clear" w:color="auto" w:fill="auto"/>
          </w:tcPr>
          <w:p w14:paraId="1D009AA1">
            <w:pPr>
              <w:pStyle w:val="9"/>
              <w:spacing w:before="2"/>
              <w:ind w:left="138"/>
              <w:rPr>
                <w:sz w:val="21"/>
              </w:rPr>
            </w:pPr>
            <w:r>
              <w:rPr>
                <w:spacing w:val="-4"/>
                <w:sz w:val="21"/>
              </w:rPr>
              <w:t>基础分</w:t>
            </w:r>
          </w:p>
        </w:tc>
        <w:tc>
          <w:tcPr>
            <w:tcW w:w="5556" w:type="dxa"/>
            <w:gridSpan w:val="6"/>
            <w:vMerge w:val="continue"/>
            <w:tcBorders>
              <w:top w:val="nil"/>
            </w:tcBorders>
            <w:shd w:val="clear" w:color="auto" w:fill="auto"/>
          </w:tcPr>
          <w:p w14:paraId="7548BFF9">
            <w:pPr>
              <w:rPr>
                <w:sz w:val="2"/>
                <w:szCs w:val="2"/>
              </w:rPr>
            </w:pPr>
          </w:p>
        </w:tc>
        <w:tc>
          <w:tcPr>
            <w:tcW w:w="1323" w:type="dxa"/>
            <w:vMerge w:val="restart"/>
            <w:tcBorders>
              <w:top w:val="nil"/>
              <w:bottom w:val="nil"/>
            </w:tcBorders>
            <w:shd w:val="clear" w:color="auto" w:fill="auto"/>
          </w:tcPr>
          <w:p w14:paraId="298FB9A7">
            <w:pPr>
              <w:pStyle w:val="9"/>
              <w:spacing w:before="2"/>
              <w:ind w:left="366"/>
              <w:rPr>
                <w:sz w:val="21"/>
              </w:rPr>
            </w:pPr>
            <w:r>
              <w:rPr>
                <w:spacing w:val="-4"/>
                <w:sz w:val="21"/>
              </w:rPr>
              <w:t>创新项</w:t>
            </w:r>
          </w:p>
        </w:tc>
      </w:tr>
      <w:tr w14:paraId="22A66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 w:hRule="exact"/>
        </w:trPr>
        <w:tc>
          <w:tcPr>
            <w:tcW w:w="643" w:type="dxa"/>
            <w:vMerge w:val="continue"/>
            <w:tcBorders>
              <w:top w:val="nil"/>
              <w:bottom w:val="nil"/>
            </w:tcBorders>
            <w:shd w:val="clear" w:color="auto" w:fill="auto"/>
          </w:tcPr>
          <w:p w14:paraId="597EE5BC">
            <w:pPr>
              <w:rPr>
                <w:sz w:val="2"/>
                <w:szCs w:val="2"/>
              </w:rPr>
            </w:pPr>
          </w:p>
        </w:tc>
        <w:tc>
          <w:tcPr>
            <w:tcW w:w="701" w:type="dxa"/>
            <w:vMerge w:val="continue"/>
            <w:tcBorders>
              <w:top w:val="nil"/>
            </w:tcBorders>
            <w:shd w:val="clear" w:color="auto" w:fill="auto"/>
          </w:tcPr>
          <w:p w14:paraId="7F713A1D">
            <w:pPr>
              <w:rPr>
                <w:sz w:val="2"/>
                <w:szCs w:val="2"/>
              </w:rPr>
            </w:pPr>
          </w:p>
        </w:tc>
        <w:tc>
          <w:tcPr>
            <w:tcW w:w="953" w:type="dxa"/>
            <w:vMerge w:val="continue"/>
            <w:tcBorders>
              <w:top w:val="nil"/>
              <w:bottom w:val="nil"/>
            </w:tcBorders>
            <w:shd w:val="clear" w:color="auto" w:fill="auto"/>
          </w:tcPr>
          <w:p w14:paraId="6D658918">
            <w:pPr>
              <w:rPr>
                <w:sz w:val="2"/>
                <w:szCs w:val="2"/>
              </w:rPr>
            </w:pPr>
          </w:p>
        </w:tc>
        <w:tc>
          <w:tcPr>
            <w:tcW w:w="922" w:type="dxa"/>
            <w:tcBorders>
              <w:bottom w:val="nil"/>
            </w:tcBorders>
            <w:shd w:val="clear" w:color="auto" w:fill="auto"/>
          </w:tcPr>
          <w:p w14:paraId="22148CDB">
            <w:pPr>
              <w:pStyle w:val="9"/>
              <w:spacing w:before="3" w:line="218" w:lineRule="exact"/>
              <w:ind w:left="231" w:right="231"/>
              <w:jc w:val="center"/>
              <w:rPr>
                <w:sz w:val="21"/>
              </w:rPr>
            </w:pPr>
            <w:r>
              <w:rPr>
                <w:spacing w:val="-5"/>
                <w:sz w:val="21"/>
              </w:rPr>
              <w:t>安全</w:t>
            </w:r>
          </w:p>
        </w:tc>
        <w:tc>
          <w:tcPr>
            <w:tcW w:w="941" w:type="dxa"/>
            <w:gridSpan w:val="2"/>
            <w:tcBorders>
              <w:bottom w:val="nil"/>
            </w:tcBorders>
            <w:shd w:val="clear" w:color="auto" w:fill="auto"/>
          </w:tcPr>
          <w:p w14:paraId="6F457FC2">
            <w:pPr>
              <w:pStyle w:val="9"/>
              <w:spacing w:before="3" w:line="218" w:lineRule="exact"/>
              <w:ind w:left="254"/>
              <w:rPr>
                <w:sz w:val="21"/>
              </w:rPr>
            </w:pPr>
            <w:r>
              <w:rPr>
                <w:spacing w:val="-5"/>
                <w:sz w:val="21"/>
              </w:rPr>
              <w:t>健康</w:t>
            </w:r>
          </w:p>
        </w:tc>
        <w:tc>
          <w:tcPr>
            <w:tcW w:w="943" w:type="dxa"/>
            <w:tcBorders>
              <w:bottom w:val="nil"/>
            </w:tcBorders>
            <w:shd w:val="clear" w:color="auto" w:fill="auto"/>
          </w:tcPr>
          <w:p w14:paraId="0496F3BB">
            <w:pPr>
              <w:pStyle w:val="9"/>
              <w:spacing w:before="3" w:line="218" w:lineRule="exact"/>
              <w:ind w:left="242" w:right="240"/>
              <w:jc w:val="center"/>
              <w:rPr>
                <w:sz w:val="21"/>
              </w:rPr>
            </w:pPr>
            <w:r>
              <w:rPr>
                <w:spacing w:val="-5"/>
                <w:sz w:val="21"/>
              </w:rPr>
              <w:t>生活</w:t>
            </w:r>
          </w:p>
        </w:tc>
        <w:tc>
          <w:tcPr>
            <w:tcW w:w="993" w:type="dxa"/>
            <w:tcBorders>
              <w:bottom w:val="nil"/>
            </w:tcBorders>
            <w:shd w:val="clear" w:color="auto" w:fill="auto"/>
          </w:tcPr>
          <w:p w14:paraId="20A0EF31">
            <w:pPr>
              <w:pStyle w:val="9"/>
              <w:spacing w:before="3" w:line="218" w:lineRule="exact"/>
              <w:ind w:left="266" w:right="266"/>
              <w:jc w:val="center"/>
              <w:rPr>
                <w:sz w:val="21"/>
              </w:rPr>
            </w:pPr>
            <w:r>
              <w:rPr>
                <w:spacing w:val="-5"/>
                <w:sz w:val="21"/>
              </w:rPr>
              <w:t>资源</w:t>
            </w:r>
          </w:p>
        </w:tc>
        <w:tc>
          <w:tcPr>
            <w:tcW w:w="1757" w:type="dxa"/>
            <w:tcBorders>
              <w:bottom w:val="nil"/>
            </w:tcBorders>
            <w:shd w:val="clear" w:color="auto" w:fill="auto"/>
          </w:tcPr>
          <w:p w14:paraId="7F1C1C0C">
            <w:pPr>
              <w:pStyle w:val="9"/>
              <w:spacing w:before="3" w:line="218" w:lineRule="exact"/>
              <w:ind w:left="108" w:right="108"/>
              <w:jc w:val="center"/>
              <w:rPr>
                <w:sz w:val="21"/>
              </w:rPr>
            </w:pPr>
            <w:r>
              <w:rPr>
                <w:spacing w:val="-5"/>
                <w:sz w:val="21"/>
              </w:rPr>
              <w:t>环境</w:t>
            </w:r>
          </w:p>
        </w:tc>
        <w:tc>
          <w:tcPr>
            <w:tcW w:w="1323" w:type="dxa"/>
            <w:vMerge w:val="continue"/>
            <w:tcBorders>
              <w:top w:val="nil"/>
              <w:bottom w:val="nil"/>
            </w:tcBorders>
            <w:shd w:val="clear" w:color="auto" w:fill="auto"/>
          </w:tcPr>
          <w:p w14:paraId="33BD994B">
            <w:pPr>
              <w:rPr>
                <w:sz w:val="2"/>
                <w:szCs w:val="2"/>
              </w:rPr>
            </w:pPr>
          </w:p>
        </w:tc>
      </w:tr>
      <w:tr w14:paraId="384F8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exact"/>
        </w:trPr>
        <w:tc>
          <w:tcPr>
            <w:tcW w:w="643" w:type="dxa"/>
            <w:vMerge w:val="restart"/>
            <w:tcBorders>
              <w:top w:val="nil"/>
              <w:bottom w:val="nil"/>
            </w:tcBorders>
            <w:shd w:val="clear" w:color="auto" w:fill="auto"/>
          </w:tcPr>
          <w:p w14:paraId="241A7853">
            <w:pPr>
              <w:pStyle w:val="9"/>
              <w:spacing w:before="102" w:line="242" w:lineRule="auto"/>
              <w:ind w:left="105" w:right="103"/>
              <w:jc w:val="both"/>
              <w:rPr>
                <w:sz w:val="21"/>
              </w:rPr>
            </w:pPr>
            <w:r>
              <w:rPr>
                <w:spacing w:val="-6"/>
                <w:sz w:val="21"/>
              </w:rPr>
              <w:t>各分项得</w:t>
            </w:r>
            <w:r>
              <w:rPr>
                <w:spacing w:val="-10"/>
                <w:sz w:val="21"/>
              </w:rPr>
              <w:t>分</w:t>
            </w:r>
          </w:p>
        </w:tc>
        <w:tc>
          <w:tcPr>
            <w:tcW w:w="701" w:type="dxa"/>
            <w:vMerge w:val="continue"/>
            <w:tcBorders>
              <w:top w:val="nil"/>
            </w:tcBorders>
            <w:shd w:val="clear" w:color="auto" w:fill="auto"/>
          </w:tcPr>
          <w:p w14:paraId="3F84C639">
            <w:pPr>
              <w:rPr>
                <w:sz w:val="2"/>
                <w:szCs w:val="2"/>
              </w:rPr>
            </w:pPr>
          </w:p>
        </w:tc>
        <w:tc>
          <w:tcPr>
            <w:tcW w:w="953" w:type="dxa"/>
            <w:tcBorders>
              <w:top w:val="nil"/>
            </w:tcBorders>
            <w:shd w:val="clear" w:color="auto" w:fill="auto"/>
          </w:tcPr>
          <w:p w14:paraId="1827157F">
            <w:pPr>
              <w:pStyle w:val="9"/>
              <w:spacing w:line="237" w:lineRule="exact"/>
              <w:ind w:right="35"/>
              <w:jc w:val="center"/>
              <w:rPr>
                <w:sz w:val="21"/>
              </w:rPr>
            </w:pPr>
            <w:r>
              <w:rPr>
                <w:sz w:val="21"/>
              </w:rPr>
              <w:t>值</w:t>
            </w:r>
          </w:p>
          <w:p w14:paraId="675A8D85">
            <w:pPr>
              <w:pStyle w:val="9"/>
              <w:spacing w:line="244" w:lineRule="exact"/>
              <w:ind w:left="126" w:right="157"/>
              <w:jc w:val="center"/>
              <w:rPr>
                <w:rFonts w:ascii="Times New Roman"/>
                <w:sz w:val="14"/>
              </w:rPr>
            </w:pPr>
            <w:r>
              <w:rPr>
                <w:rFonts w:ascii="Times New Roman"/>
                <w:spacing w:val="-5"/>
                <w:position w:val="2"/>
                <w:sz w:val="21"/>
              </w:rPr>
              <w:t>Q</w:t>
            </w:r>
            <w:r>
              <w:rPr>
                <w:rFonts w:ascii="Times New Roman"/>
                <w:spacing w:val="-5"/>
                <w:sz w:val="14"/>
              </w:rPr>
              <w:t>0</w:t>
            </w:r>
          </w:p>
        </w:tc>
        <w:tc>
          <w:tcPr>
            <w:tcW w:w="922" w:type="dxa"/>
            <w:tcBorders>
              <w:top w:val="nil"/>
            </w:tcBorders>
            <w:shd w:val="clear" w:color="auto" w:fill="auto"/>
          </w:tcPr>
          <w:p w14:paraId="6414B490">
            <w:pPr>
              <w:pStyle w:val="9"/>
              <w:spacing w:before="32" w:line="267" w:lineRule="exact"/>
              <w:ind w:left="231" w:right="231"/>
              <w:jc w:val="center"/>
              <w:rPr>
                <w:sz w:val="21"/>
              </w:rPr>
            </w:pPr>
            <w:r>
              <w:rPr>
                <w:spacing w:val="-5"/>
                <w:sz w:val="21"/>
              </w:rPr>
              <w:t>耐久</w:t>
            </w:r>
          </w:p>
          <w:p w14:paraId="0B48D2E6">
            <w:pPr>
              <w:pStyle w:val="9"/>
              <w:spacing w:line="225" w:lineRule="exact"/>
              <w:ind w:left="231" w:right="229"/>
              <w:jc w:val="center"/>
              <w:rPr>
                <w:rFonts w:ascii="Times New Roman"/>
                <w:sz w:val="14"/>
              </w:rPr>
            </w:pPr>
            <w:r>
              <w:rPr>
                <w:rFonts w:ascii="Times New Roman"/>
                <w:spacing w:val="-5"/>
                <w:position w:val="2"/>
                <w:sz w:val="21"/>
              </w:rPr>
              <w:t>Q</w:t>
            </w:r>
            <w:r>
              <w:rPr>
                <w:rFonts w:ascii="Times New Roman"/>
                <w:spacing w:val="-5"/>
                <w:sz w:val="14"/>
              </w:rPr>
              <w:t>1</w:t>
            </w:r>
          </w:p>
        </w:tc>
        <w:tc>
          <w:tcPr>
            <w:tcW w:w="941" w:type="dxa"/>
            <w:gridSpan w:val="2"/>
            <w:tcBorders>
              <w:top w:val="nil"/>
            </w:tcBorders>
            <w:shd w:val="clear" w:color="auto" w:fill="auto"/>
          </w:tcPr>
          <w:p w14:paraId="01B49288">
            <w:pPr>
              <w:pStyle w:val="9"/>
              <w:spacing w:before="32" w:line="267" w:lineRule="exact"/>
              <w:ind w:left="240" w:right="240"/>
              <w:jc w:val="center"/>
              <w:rPr>
                <w:sz w:val="21"/>
              </w:rPr>
            </w:pPr>
            <w:r>
              <w:rPr>
                <w:spacing w:val="-5"/>
                <w:sz w:val="21"/>
              </w:rPr>
              <w:t>舒适</w:t>
            </w:r>
          </w:p>
          <w:p w14:paraId="75CA0009">
            <w:pPr>
              <w:pStyle w:val="9"/>
              <w:spacing w:line="225" w:lineRule="exact"/>
              <w:ind w:left="240" w:right="238"/>
              <w:jc w:val="center"/>
              <w:rPr>
                <w:rFonts w:ascii="Times New Roman"/>
                <w:sz w:val="14"/>
              </w:rPr>
            </w:pPr>
            <w:r>
              <w:rPr>
                <w:rFonts w:ascii="Times New Roman"/>
                <w:spacing w:val="-5"/>
                <w:position w:val="2"/>
                <w:sz w:val="21"/>
              </w:rPr>
              <w:t>Q</w:t>
            </w:r>
            <w:r>
              <w:rPr>
                <w:rFonts w:ascii="Times New Roman"/>
                <w:spacing w:val="-5"/>
                <w:sz w:val="14"/>
              </w:rPr>
              <w:t>2</w:t>
            </w:r>
          </w:p>
        </w:tc>
        <w:tc>
          <w:tcPr>
            <w:tcW w:w="943" w:type="dxa"/>
            <w:tcBorders>
              <w:top w:val="nil"/>
            </w:tcBorders>
            <w:shd w:val="clear" w:color="auto" w:fill="auto"/>
          </w:tcPr>
          <w:p w14:paraId="722D9103">
            <w:pPr>
              <w:pStyle w:val="9"/>
              <w:spacing w:before="32" w:line="267" w:lineRule="exact"/>
              <w:ind w:left="242" w:right="240"/>
              <w:jc w:val="center"/>
              <w:rPr>
                <w:sz w:val="21"/>
              </w:rPr>
            </w:pPr>
            <w:r>
              <w:rPr>
                <w:spacing w:val="-5"/>
                <w:sz w:val="21"/>
              </w:rPr>
              <w:t>便利</w:t>
            </w:r>
          </w:p>
          <w:p w14:paraId="23717D9D">
            <w:pPr>
              <w:pStyle w:val="9"/>
              <w:spacing w:line="225" w:lineRule="exact"/>
              <w:ind w:left="240" w:right="240"/>
              <w:jc w:val="center"/>
              <w:rPr>
                <w:rFonts w:ascii="Times New Roman"/>
                <w:sz w:val="14"/>
              </w:rPr>
            </w:pPr>
            <w:r>
              <w:rPr>
                <w:rFonts w:ascii="Times New Roman"/>
                <w:spacing w:val="-5"/>
                <w:position w:val="2"/>
                <w:sz w:val="21"/>
              </w:rPr>
              <w:t>Q</w:t>
            </w:r>
            <w:r>
              <w:rPr>
                <w:rFonts w:ascii="Times New Roman"/>
                <w:spacing w:val="-5"/>
                <w:sz w:val="14"/>
              </w:rPr>
              <w:t>3</w:t>
            </w:r>
          </w:p>
        </w:tc>
        <w:tc>
          <w:tcPr>
            <w:tcW w:w="993" w:type="dxa"/>
            <w:tcBorders>
              <w:top w:val="nil"/>
            </w:tcBorders>
            <w:shd w:val="clear" w:color="auto" w:fill="auto"/>
          </w:tcPr>
          <w:p w14:paraId="2B04B737">
            <w:pPr>
              <w:pStyle w:val="9"/>
              <w:spacing w:before="32" w:line="267" w:lineRule="exact"/>
              <w:ind w:left="266" w:right="266"/>
              <w:jc w:val="center"/>
              <w:rPr>
                <w:sz w:val="21"/>
              </w:rPr>
            </w:pPr>
            <w:r>
              <w:rPr>
                <w:spacing w:val="-5"/>
                <w:sz w:val="21"/>
              </w:rPr>
              <w:t>节约</w:t>
            </w:r>
          </w:p>
          <w:p w14:paraId="7B415724">
            <w:pPr>
              <w:pStyle w:val="9"/>
              <w:spacing w:line="225" w:lineRule="exact"/>
              <w:ind w:left="266" w:right="264"/>
              <w:jc w:val="center"/>
              <w:rPr>
                <w:rFonts w:ascii="Times New Roman"/>
                <w:sz w:val="14"/>
              </w:rPr>
            </w:pPr>
            <w:r>
              <w:rPr>
                <w:rFonts w:ascii="Times New Roman"/>
                <w:spacing w:val="-5"/>
                <w:position w:val="2"/>
                <w:sz w:val="21"/>
              </w:rPr>
              <w:t>Q</w:t>
            </w:r>
            <w:r>
              <w:rPr>
                <w:rFonts w:ascii="Times New Roman"/>
                <w:spacing w:val="-5"/>
                <w:sz w:val="14"/>
              </w:rPr>
              <w:t>4</w:t>
            </w:r>
          </w:p>
        </w:tc>
        <w:tc>
          <w:tcPr>
            <w:tcW w:w="1757" w:type="dxa"/>
            <w:tcBorders>
              <w:top w:val="nil"/>
            </w:tcBorders>
            <w:shd w:val="clear" w:color="auto" w:fill="auto"/>
          </w:tcPr>
          <w:p w14:paraId="0D7D28C6">
            <w:pPr>
              <w:pStyle w:val="9"/>
              <w:spacing w:before="32" w:line="267" w:lineRule="exact"/>
              <w:ind w:left="108" w:right="108"/>
              <w:jc w:val="center"/>
              <w:rPr>
                <w:sz w:val="21"/>
              </w:rPr>
            </w:pPr>
            <w:r>
              <w:rPr>
                <w:spacing w:val="-5"/>
                <w:sz w:val="21"/>
              </w:rPr>
              <w:t>宜居</w:t>
            </w:r>
          </w:p>
          <w:p w14:paraId="1E99BAC9">
            <w:pPr>
              <w:pStyle w:val="9"/>
              <w:spacing w:line="225" w:lineRule="exact"/>
              <w:ind w:left="108" w:right="108"/>
              <w:jc w:val="center"/>
              <w:rPr>
                <w:rFonts w:ascii="Times New Roman"/>
                <w:sz w:val="14"/>
              </w:rPr>
            </w:pPr>
            <w:r>
              <w:rPr>
                <w:rFonts w:ascii="Times New Roman"/>
                <w:spacing w:val="-5"/>
                <w:position w:val="2"/>
                <w:sz w:val="21"/>
              </w:rPr>
              <w:t>Q</w:t>
            </w:r>
            <w:r>
              <w:rPr>
                <w:rFonts w:ascii="Times New Roman"/>
                <w:spacing w:val="-5"/>
                <w:sz w:val="14"/>
              </w:rPr>
              <w:t>5</w:t>
            </w:r>
          </w:p>
        </w:tc>
        <w:tc>
          <w:tcPr>
            <w:tcW w:w="1323" w:type="dxa"/>
            <w:tcBorders>
              <w:top w:val="nil"/>
            </w:tcBorders>
            <w:shd w:val="clear" w:color="auto" w:fill="auto"/>
          </w:tcPr>
          <w:p w14:paraId="74D65207">
            <w:pPr>
              <w:pStyle w:val="9"/>
              <w:spacing w:line="237" w:lineRule="exact"/>
              <w:ind w:left="97" w:right="104"/>
              <w:jc w:val="center"/>
              <w:rPr>
                <w:sz w:val="21"/>
              </w:rPr>
            </w:pPr>
            <w:r>
              <w:rPr>
                <w:spacing w:val="-4"/>
                <w:sz w:val="21"/>
              </w:rPr>
              <w:t>加分值</w:t>
            </w:r>
          </w:p>
          <w:p w14:paraId="1F04FA82">
            <w:pPr>
              <w:pStyle w:val="9"/>
              <w:spacing w:line="244" w:lineRule="exact"/>
              <w:ind w:left="97" w:right="104"/>
              <w:jc w:val="center"/>
              <w:rPr>
                <w:rFonts w:ascii="Times New Roman"/>
                <w:sz w:val="14"/>
              </w:rPr>
            </w:pPr>
            <w:r>
              <w:rPr>
                <w:rFonts w:ascii="Times New Roman"/>
                <w:spacing w:val="-5"/>
                <w:position w:val="2"/>
                <w:sz w:val="21"/>
              </w:rPr>
              <w:t>Q</w:t>
            </w:r>
            <w:r>
              <w:rPr>
                <w:rFonts w:ascii="Times New Roman"/>
                <w:spacing w:val="-5"/>
                <w:sz w:val="14"/>
              </w:rPr>
              <w:t>A</w:t>
            </w:r>
          </w:p>
        </w:tc>
      </w:tr>
      <w:tr w14:paraId="4887F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54" w:hRule="exact"/>
        </w:trPr>
        <w:tc>
          <w:tcPr>
            <w:tcW w:w="643" w:type="dxa"/>
            <w:vMerge w:val="continue"/>
            <w:tcBorders>
              <w:top w:val="nil"/>
              <w:bottom w:val="nil"/>
            </w:tcBorders>
            <w:shd w:val="clear" w:color="auto" w:fill="auto"/>
          </w:tcPr>
          <w:p w14:paraId="5C418A71">
            <w:pPr>
              <w:rPr>
                <w:sz w:val="2"/>
                <w:szCs w:val="2"/>
              </w:rPr>
            </w:pPr>
          </w:p>
        </w:tc>
        <w:tc>
          <w:tcPr>
            <w:tcW w:w="701" w:type="dxa"/>
            <w:shd w:val="clear" w:color="auto" w:fill="auto"/>
          </w:tcPr>
          <w:p w14:paraId="0341237A">
            <w:pPr>
              <w:pStyle w:val="9"/>
              <w:spacing w:before="1"/>
              <w:ind w:left="134"/>
              <w:rPr>
                <w:sz w:val="21"/>
              </w:rPr>
            </w:pPr>
            <w:r>
              <w:rPr>
                <w:spacing w:val="-5"/>
                <w:sz w:val="21"/>
              </w:rPr>
              <w:t>评价</w:t>
            </w:r>
          </w:p>
          <w:p w14:paraId="470E7109">
            <w:pPr>
              <w:pStyle w:val="9"/>
              <w:spacing w:before="4" w:line="250" w:lineRule="exact"/>
              <w:ind w:left="134"/>
              <w:rPr>
                <w:sz w:val="21"/>
              </w:rPr>
            </w:pPr>
            <w:r>
              <w:rPr>
                <w:spacing w:val="-5"/>
                <w:sz w:val="21"/>
              </w:rPr>
              <w:t>分值</w:t>
            </w:r>
          </w:p>
        </w:tc>
        <w:tc>
          <w:tcPr>
            <w:tcW w:w="953" w:type="dxa"/>
            <w:shd w:val="clear" w:color="auto" w:fill="auto"/>
          </w:tcPr>
          <w:p w14:paraId="7B1B5DAD">
            <w:pPr>
              <w:pStyle w:val="9"/>
              <w:spacing w:before="144"/>
              <w:ind w:left="128" w:right="126"/>
              <w:jc w:val="center"/>
              <w:rPr>
                <w:rFonts w:ascii="Times New Roman"/>
                <w:sz w:val="21"/>
              </w:rPr>
            </w:pPr>
            <w:r>
              <w:rPr>
                <w:rFonts w:ascii="Times New Roman"/>
                <w:spacing w:val="-5"/>
                <w:sz w:val="21"/>
              </w:rPr>
              <w:t>400</w:t>
            </w:r>
          </w:p>
        </w:tc>
        <w:tc>
          <w:tcPr>
            <w:tcW w:w="922" w:type="dxa"/>
            <w:shd w:val="clear" w:color="auto" w:fill="auto"/>
          </w:tcPr>
          <w:p w14:paraId="0409DDF5">
            <w:pPr>
              <w:pStyle w:val="9"/>
              <w:spacing w:before="144"/>
              <w:ind w:left="231" w:right="231"/>
              <w:jc w:val="center"/>
              <w:rPr>
                <w:rFonts w:ascii="Times New Roman"/>
                <w:sz w:val="21"/>
              </w:rPr>
            </w:pPr>
            <w:r>
              <w:rPr>
                <w:rFonts w:ascii="Times New Roman"/>
                <w:spacing w:val="-5"/>
                <w:sz w:val="21"/>
              </w:rPr>
              <w:t>100</w:t>
            </w:r>
          </w:p>
        </w:tc>
        <w:tc>
          <w:tcPr>
            <w:tcW w:w="941" w:type="dxa"/>
            <w:gridSpan w:val="2"/>
            <w:shd w:val="clear" w:color="auto" w:fill="auto"/>
          </w:tcPr>
          <w:p w14:paraId="4B69A726">
            <w:pPr>
              <w:pStyle w:val="9"/>
              <w:spacing w:before="144"/>
              <w:ind w:left="306"/>
              <w:rPr>
                <w:rFonts w:ascii="Times New Roman"/>
                <w:sz w:val="21"/>
              </w:rPr>
            </w:pPr>
            <w:r>
              <w:rPr>
                <w:rFonts w:ascii="Times New Roman"/>
                <w:spacing w:val="-5"/>
                <w:sz w:val="21"/>
              </w:rPr>
              <w:t>100</w:t>
            </w:r>
          </w:p>
        </w:tc>
        <w:tc>
          <w:tcPr>
            <w:tcW w:w="943" w:type="dxa"/>
            <w:shd w:val="clear" w:color="auto" w:fill="auto"/>
          </w:tcPr>
          <w:p w14:paraId="1E7DF0E6">
            <w:pPr>
              <w:pStyle w:val="9"/>
              <w:spacing w:before="144"/>
              <w:ind w:left="240" w:right="240"/>
              <w:jc w:val="center"/>
              <w:rPr>
                <w:rFonts w:ascii="Times New Roman"/>
                <w:sz w:val="21"/>
              </w:rPr>
            </w:pPr>
            <w:r>
              <w:rPr>
                <w:rFonts w:ascii="Times New Roman"/>
                <w:spacing w:val="-5"/>
                <w:sz w:val="21"/>
              </w:rPr>
              <w:t>70</w:t>
            </w:r>
          </w:p>
        </w:tc>
        <w:tc>
          <w:tcPr>
            <w:tcW w:w="993" w:type="dxa"/>
            <w:shd w:val="clear" w:color="auto" w:fill="auto"/>
          </w:tcPr>
          <w:p w14:paraId="1DC04152">
            <w:pPr>
              <w:pStyle w:val="9"/>
              <w:spacing w:before="144"/>
              <w:ind w:left="266" w:right="265"/>
              <w:jc w:val="center"/>
              <w:rPr>
                <w:rFonts w:ascii="Times New Roman"/>
                <w:sz w:val="21"/>
              </w:rPr>
            </w:pPr>
            <w:r>
              <w:rPr>
                <w:rFonts w:ascii="Times New Roman"/>
                <w:spacing w:val="-5"/>
                <w:sz w:val="21"/>
              </w:rPr>
              <w:t>200</w:t>
            </w:r>
          </w:p>
        </w:tc>
        <w:tc>
          <w:tcPr>
            <w:tcW w:w="1757" w:type="dxa"/>
            <w:shd w:val="clear" w:color="auto" w:fill="auto"/>
          </w:tcPr>
          <w:p w14:paraId="7DA2B8DA">
            <w:pPr>
              <w:pStyle w:val="9"/>
              <w:spacing w:before="144"/>
              <w:ind w:left="108" w:right="108"/>
              <w:jc w:val="center"/>
              <w:rPr>
                <w:rFonts w:ascii="Times New Roman"/>
                <w:sz w:val="21"/>
              </w:rPr>
            </w:pPr>
            <w:r>
              <w:rPr>
                <w:rFonts w:ascii="Times New Roman"/>
                <w:spacing w:val="-5"/>
                <w:sz w:val="21"/>
              </w:rPr>
              <w:t>100</w:t>
            </w:r>
          </w:p>
        </w:tc>
        <w:tc>
          <w:tcPr>
            <w:tcW w:w="1323" w:type="dxa"/>
            <w:shd w:val="clear" w:color="auto" w:fill="auto"/>
          </w:tcPr>
          <w:p w14:paraId="14B5A54B">
            <w:pPr>
              <w:pStyle w:val="9"/>
              <w:spacing w:before="144"/>
              <w:ind w:left="101" w:right="104"/>
              <w:jc w:val="center"/>
              <w:rPr>
                <w:rFonts w:ascii="Times New Roman"/>
                <w:sz w:val="21"/>
              </w:rPr>
            </w:pPr>
            <w:r>
              <w:rPr>
                <w:rFonts w:ascii="Times New Roman"/>
                <w:spacing w:val="-5"/>
                <w:sz w:val="21"/>
              </w:rPr>
              <w:t>100</w:t>
            </w:r>
          </w:p>
        </w:tc>
      </w:tr>
      <w:tr w14:paraId="6B5F5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6" w:hRule="exact"/>
        </w:trPr>
        <w:tc>
          <w:tcPr>
            <w:tcW w:w="643" w:type="dxa"/>
            <w:tcBorders>
              <w:top w:val="nil"/>
              <w:bottom w:val="nil"/>
            </w:tcBorders>
            <w:shd w:val="clear" w:color="auto" w:fill="auto"/>
          </w:tcPr>
          <w:p w14:paraId="0D25AD93">
            <w:pPr>
              <w:pStyle w:val="9"/>
              <w:rPr>
                <w:rFonts w:ascii="Times New Roman"/>
                <w:sz w:val="20"/>
              </w:rPr>
            </w:pPr>
          </w:p>
        </w:tc>
        <w:tc>
          <w:tcPr>
            <w:tcW w:w="701" w:type="dxa"/>
            <w:tcBorders>
              <w:bottom w:val="nil"/>
            </w:tcBorders>
            <w:shd w:val="clear" w:color="auto" w:fill="auto"/>
          </w:tcPr>
          <w:p w14:paraId="4B2061BB">
            <w:pPr>
              <w:pStyle w:val="9"/>
              <w:spacing w:before="1" w:line="251" w:lineRule="exact"/>
              <w:ind w:left="120" w:right="120"/>
              <w:jc w:val="center"/>
              <w:rPr>
                <w:sz w:val="21"/>
              </w:rPr>
            </w:pPr>
            <w:r>
              <w:rPr>
                <w:spacing w:val="-5"/>
                <w:sz w:val="21"/>
              </w:rPr>
              <w:t>自评</w:t>
            </w:r>
          </w:p>
        </w:tc>
        <w:tc>
          <w:tcPr>
            <w:tcW w:w="953" w:type="dxa"/>
            <w:vMerge w:val="restart"/>
            <w:shd w:val="clear" w:color="auto" w:fill="auto"/>
          </w:tcPr>
          <w:p w14:paraId="1414A6A5">
            <w:pPr>
              <w:pStyle w:val="9"/>
              <w:spacing w:before="147"/>
              <w:ind w:left="314"/>
              <w:rPr>
                <w:rFonts w:ascii="Times New Roman"/>
                <w:sz w:val="21"/>
              </w:rPr>
            </w:pPr>
          </w:p>
        </w:tc>
        <w:tc>
          <w:tcPr>
            <w:tcW w:w="922" w:type="dxa"/>
            <w:vMerge w:val="restart"/>
            <w:shd w:val="clear" w:color="auto" w:fill="auto"/>
          </w:tcPr>
          <w:p w14:paraId="6AB1904D">
            <w:pPr>
              <w:pStyle w:val="9"/>
              <w:spacing w:before="147"/>
              <w:ind w:left="336" w:right="336"/>
              <w:jc w:val="center"/>
              <w:rPr>
                <w:rFonts w:hint="default" w:ascii="Times New Roman" w:eastAsia="宋体"/>
                <w:sz w:val="21"/>
                <w:lang w:val="en-US" w:eastAsia="zh-CN"/>
              </w:rPr>
            </w:pPr>
          </w:p>
        </w:tc>
        <w:tc>
          <w:tcPr>
            <w:tcW w:w="941" w:type="dxa"/>
            <w:gridSpan w:val="2"/>
            <w:vMerge w:val="restart"/>
            <w:shd w:val="clear" w:color="auto" w:fill="auto"/>
          </w:tcPr>
          <w:p w14:paraId="2383BC78">
            <w:pPr>
              <w:pStyle w:val="9"/>
              <w:spacing w:before="147"/>
              <w:ind w:left="240" w:right="240"/>
              <w:jc w:val="center"/>
              <w:rPr>
                <w:rFonts w:hint="default" w:ascii="Times New Roman" w:eastAsia="宋体"/>
                <w:sz w:val="21"/>
                <w:lang w:val="en-US" w:eastAsia="zh-CN"/>
              </w:rPr>
            </w:pPr>
          </w:p>
        </w:tc>
        <w:tc>
          <w:tcPr>
            <w:tcW w:w="943" w:type="dxa"/>
            <w:vMerge w:val="restart"/>
            <w:shd w:val="clear" w:color="auto" w:fill="auto"/>
          </w:tcPr>
          <w:p w14:paraId="249F49FE">
            <w:pPr>
              <w:pStyle w:val="9"/>
              <w:spacing w:before="147"/>
              <w:ind w:left="240" w:right="240"/>
              <w:jc w:val="center"/>
              <w:rPr>
                <w:rFonts w:hint="default" w:ascii="Times New Roman" w:eastAsia="宋体"/>
                <w:sz w:val="21"/>
                <w:lang w:val="en-US" w:eastAsia="zh-CN"/>
              </w:rPr>
            </w:pPr>
          </w:p>
        </w:tc>
        <w:tc>
          <w:tcPr>
            <w:tcW w:w="993" w:type="dxa"/>
            <w:vMerge w:val="restart"/>
            <w:shd w:val="clear" w:color="auto" w:fill="auto"/>
          </w:tcPr>
          <w:p w14:paraId="02B85EBB">
            <w:pPr>
              <w:pStyle w:val="9"/>
              <w:spacing w:before="147"/>
              <w:ind w:left="266" w:right="265"/>
              <w:jc w:val="center"/>
              <w:rPr>
                <w:rFonts w:hint="default" w:ascii="Times New Roman" w:eastAsia="宋体"/>
                <w:sz w:val="21"/>
                <w:lang w:val="en-US" w:eastAsia="zh-CN"/>
              </w:rPr>
            </w:pPr>
          </w:p>
        </w:tc>
        <w:tc>
          <w:tcPr>
            <w:tcW w:w="1757" w:type="dxa"/>
            <w:vMerge w:val="restart"/>
            <w:shd w:val="clear" w:color="auto" w:fill="auto"/>
          </w:tcPr>
          <w:p w14:paraId="21F3C4C8">
            <w:pPr>
              <w:pStyle w:val="9"/>
              <w:spacing w:before="147"/>
              <w:ind w:left="107" w:right="108"/>
              <w:jc w:val="center"/>
              <w:rPr>
                <w:rFonts w:hint="default" w:ascii="Times New Roman" w:eastAsia="宋体"/>
                <w:sz w:val="21"/>
                <w:lang w:val="en-US" w:eastAsia="zh-CN"/>
              </w:rPr>
            </w:pPr>
          </w:p>
        </w:tc>
        <w:tc>
          <w:tcPr>
            <w:tcW w:w="1323" w:type="dxa"/>
            <w:vMerge w:val="restart"/>
            <w:shd w:val="clear" w:color="auto" w:fill="auto"/>
          </w:tcPr>
          <w:p w14:paraId="4FFA5A31">
            <w:pPr>
              <w:pStyle w:val="9"/>
              <w:spacing w:before="147"/>
              <w:ind w:left="461" w:right="464"/>
              <w:jc w:val="center"/>
              <w:rPr>
                <w:rFonts w:hint="eastAsia" w:ascii="Times New Roman" w:eastAsia="宋体"/>
                <w:sz w:val="21"/>
                <w:lang w:eastAsia="zh-CN"/>
              </w:rPr>
            </w:pPr>
          </w:p>
        </w:tc>
      </w:tr>
      <w:tr w14:paraId="1C8D7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exact"/>
        </w:trPr>
        <w:tc>
          <w:tcPr>
            <w:tcW w:w="643" w:type="dxa"/>
            <w:tcBorders>
              <w:top w:val="nil"/>
            </w:tcBorders>
            <w:shd w:val="clear" w:color="auto" w:fill="auto"/>
          </w:tcPr>
          <w:p w14:paraId="7299889B">
            <w:pPr>
              <w:pStyle w:val="9"/>
              <w:rPr>
                <w:rFonts w:ascii="Times New Roman"/>
                <w:sz w:val="20"/>
              </w:rPr>
            </w:pPr>
          </w:p>
        </w:tc>
        <w:tc>
          <w:tcPr>
            <w:tcW w:w="701" w:type="dxa"/>
            <w:tcBorders>
              <w:top w:val="nil"/>
            </w:tcBorders>
            <w:shd w:val="clear" w:color="auto" w:fill="auto"/>
          </w:tcPr>
          <w:p w14:paraId="7F9B3B56">
            <w:pPr>
              <w:pStyle w:val="9"/>
              <w:spacing w:before="2" w:line="250" w:lineRule="exact"/>
              <w:ind w:left="120" w:right="120"/>
              <w:jc w:val="center"/>
              <w:rPr>
                <w:sz w:val="21"/>
              </w:rPr>
            </w:pPr>
            <w:r>
              <w:rPr>
                <w:spacing w:val="-5"/>
                <w:sz w:val="21"/>
              </w:rPr>
              <w:t>分值</w:t>
            </w:r>
          </w:p>
        </w:tc>
        <w:tc>
          <w:tcPr>
            <w:tcW w:w="953" w:type="dxa"/>
            <w:vMerge w:val="continue"/>
            <w:tcBorders>
              <w:top w:val="nil"/>
            </w:tcBorders>
            <w:shd w:val="clear" w:color="auto" w:fill="auto"/>
          </w:tcPr>
          <w:p w14:paraId="7297F4D3">
            <w:pPr>
              <w:rPr>
                <w:sz w:val="2"/>
                <w:szCs w:val="2"/>
              </w:rPr>
            </w:pPr>
          </w:p>
        </w:tc>
        <w:tc>
          <w:tcPr>
            <w:tcW w:w="922" w:type="dxa"/>
            <w:vMerge w:val="continue"/>
            <w:tcBorders>
              <w:top w:val="nil"/>
            </w:tcBorders>
            <w:shd w:val="clear" w:color="auto" w:fill="auto"/>
          </w:tcPr>
          <w:p w14:paraId="72776661">
            <w:pPr>
              <w:rPr>
                <w:sz w:val="2"/>
                <w:szCs w:val="2"/>
              </w:rPr>
            </w:pPr>
          </w:p>
        </w:tc>
        <w:tc>
          <w:tcPr>
            <w:tcW w:w="941" w:type="dxa"/>
            <w:gridSpan w:val="2"/>
            <w:vMerge w:val="continue"/>
            <w:tcBorders>
              <w:top w:val="nil"/>
            </w:tcBorders>
            <w:shd w:val="clear" w:color="auto" w:fill="auto"/>
          </w:tcPr>
          <w:p w14:paraId="16E57AE7">
            <w:pPr>
              <w:rPr>
                <w:sz w:val="2"/>
                <w:szCs w:val="2"/>
              </w:rPr>
            </w:pPr>
          </w:p>
        </w:tc>
        <w:tc>
          <w:tcPr>
            <w:tcW w:w="943" w:type="dxa"/>
            <w:vMerge w:val="continue"/>
            <w:tcBorders>
              <w:top w:val="nil"/>
            </w:tcBorders>
            <w:shd w:val="clear" w:color="auto" w:fill="auto"/>
          </w:tcPr>
          <w:p w14:paraId="056D5F70">
            <w:pPr>
              <w:rPr>
                <w:sz w:val="2"/>
                <w:szCs w:val="2"/>
              </w:rPr>
            </w:pPr>
          </w:p>
        </w:tc>
        <w:tc>
          <w:tcPr>
            <w:tcW w:w="993" w:type="dxa"/>
            <w:vMerge w:val="continue"/>
            <w:tcBorders>
              <w:top w:val="nil"/>
            </w:tcBorders>
            <w:shd w:val="clear" w:color="auto" w:fill="auto"/>
          </w:tcPr>
          <w:p w14:paraId="53B747ED">
            <w:pPr>
              <w:rPr>
                <w:sz w:val="2"/>
                <w:szCs w:val="2"/>
              </w:rPr>
            </w:pPr>
          </w:p>
        </w:tc>
        <w:tc>
          <w:tcPr>
            <w:tcW w:w="1757" w:type="dxa"/>
            <w:vMerge w:val="continue"/>
            <w:tcBorders>
              <w:top w:val="nil"/>
            </w:tcBorders>
            <w:shd w:val="clear" w:color="auto" w:fill="auto"/>
          </w:tcPr>
          <w:p w14:paraId="361C0D98">
            <w:pPr>
              <w:rPr>
                <w:sz w:val="2"/>
                <w:szCs w:val="2"/>
              </w:rPr>
            </w:pPr>
          </w:p>
        </w:tc>
        <w:tc>
          <w:tcPr>
            <w:tcW w:w="1323" w:type="dxa"/>
            <w:vMerge w:val="continue"/>
            <w:tcBorders>
              <w:top w:val="nil"/>
            </w:tcBorders>
            <w:shd w:val="clear" w:color="auto" w:fill="auto"/>
          </w:tcPr>
          <w:p w14:paraId="218E360B">
            <w:pPr>
              <w:rPr>
                <w:sz w:val="2"/>
                <w:szCs w:val="2"/>
              </w:rPr>
            </w:pPr>
          </w:p>
        </w:tc>
      </w:tr>
      <w:tr w14:paraId="6A9DD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77" w:hRule="exact"/>
        </w:trPr>
        <w:tc>
          <w:tcPr>
            <w:tcW w:w="7853" w:type="dxa"/>
            <w:gridSpan w:val="9"/>
            <w:vMerge w:val="restart"/>
            <w:tcBorders>
              <w:top w:val="nil"/>
            </w:tcBorders>
            <w:shd w:val="clear" w:color="auto" w:fill="auto"/>
          </w:tcPr>
          <w:p w14:paraId="483EBC3A">
            <w:pPr>
              <w:pStyle w:val="9"/>
              <w:spacing w:before="51"/>
              <w:ind w:left="158" w:right="150"/>
              <w:jc w:val="center"/>
              <w:rPr>
                <w:sz w:val="21"/>
                <w:lang w:eastAsia="zh-CN"/>
              </w:rPr>
            </w:pPr>
            <w:r>
              <w:rPr>
                <w:rFonts w:ascii="Times New Roman" w:eastAsia="Times New Roman"/>
                <w:spacing w:val="-2"/>
                <w:sz w:val="21"/>
                <w:lang w:eastAsia="zh-CN"/>
              </w:rPr>
              <w:t>5</w:t>
            </w:r>
            <w:r>
              <w:rPr>
                <w:spacing w:val="-2"/>
                <w:sz w:val="21"/>
                <w:lang w:eastAsia="zh-CN"/>
              </w:rPr>
              <w:t>、本项目星级评定（</w:t>
            </w:r>
            <w:r>
              <w:rPr>
                <w:spacing w:val="-7"/>
                <w:sz w:val="21"/>
                <w:lang w:eastAsia="zh-CN"/>
              </w:rPr>
              <w:t xml:space="preserve">注：总得分分别达到 </w:t>
            </w:r>
            <w:r>
              <w:rPr>
                <w:rFonts w:ascii="Times New Roman" w:eastAsia="Times New Roman"/>
                <w:spacing w:val="-2"/>
                <w:sz w:val="21"/>
                <w:lang w:eastAsia="zh-CN"/>
              </w:rPr>
              <w:t>60</w:t>
            </w:r>
            <w:r>
              <w:rPr>
                <w:rFonts w:ascii="Times New Roman" w:eastAsia="Times New Roman"/>
                <w:spacing w:val="3"/>
                <w:sz w:val="21"/>
                <w:lang w:eastAsia="zh-CN"/>
              </w:rPr>
              <w:t xml:space="preserve"> </w:t>
            </w:r>
            <w:r>
              <w:rPr>
                <w:spacing w:val="-2"/>
                <w:sz w:val="21"/>
                <w:lang w:eastAsia="zh-CN"/>
              </w:rPr>
              <w:t>分，</w:t>
            </w:r>
            <w:r>
              <w:rPr>
                <w:rFonts w:ascii="Times New Roman" w:eastAsia="Times New Roman"/>
                <w:spacing w:val="-2"/>
                <w:sz w:val="21"/>
                <w:lang w:eastAsia="zh-CN"/>
              </w:rPr>
              <w:t>70</w:t>
            </w:r>
            <w:r>
              <w:rPr>
                <w:rFonts w:ascii="Times New Roman" w:eastAsia="Times New Roman"/>
                <w:spacing w:val="6"/>
                <w:sz w:val="21"/>
                <w:lang w:eastAsia="zh-CN"/>
              </w:rPr>
              <w:t xml:space="preserve"> </w:t>
            </w:r>
            <w:r>
              <w:rPr>
                <w:spacing w:val="-2"/>
                <w:sz w:val="21"/>
                <w:lang w:eastAsia="zh-CN"/>
              </w:rPr>
              <w:t>分，</w:t>
            </w:r>
            <w:r>
              <w:rPr>
                <w:rFonts w:ascii="Times New Roman" w:eastAsia="Times New Roman"/>
                <w:spacing w:val="-2"/>
                <w:sz w:val="21"/>
                <w:lang w:eastAsia="zh-CN"/>
              </w:rPr>
              <w:t>85</w:t>
            </w:r>
            <w:r>
              <w:rPr>
                <w:rFonts w:ascii="Times New Roman" w:eastAsia="Times New Roman"/>
                <w:spacing w:val="6"/>
                <w:sz w:val="21"/>
                <w:lang w:eastAsia="zh-CN"/>
              </w:rPr>
              <w:t xml:space="preserve"> </w:t>
            </w:r>
            <w:r>
              <w:rPr>
                <w:spacing w:val="-4"/>
                <w:sz w:val="21"/>
                <w:lang w:eastAsia="zh-CN"/>
              </w:rPr>
              <w:t>分且满足上表</w:t>
            </w:r>
          </w:p>
          <w:p w14:paraId="306684D9">
            <w:pPr>
              <w:rPr>
                <w:sz w:val="2"/>
                <w:szCs w:val="2"/>
              </w:rPr>
            </w:pPr>
            <w:r>
              <w:rPr>
                <w:rFonts w:ascii="Times New Roman" w:eastAsia="Times New Roman"/>
                <w:spacing w:val="-2"/>
                <w:sz w:val="21"/>
                <w:lang w:eastAsia="zh-CN"/>
              </w:rPr>
              <w:t>1</w:t>
            </w:r>
            <w:r>
              <w:rPr>
                <w:spacing w:val="-2"/>
                <w:sz w:val="21"/>
                <w:lang w:eastAsia="zh-CN"/>
              </w:rPr>
              <w:t>、</w:t>
            </w:r>
            <w:r>
              <w:rPr>
                <w:rFonts w:ascii="Times New Roman" w:eastAsia="Times New Roman"/>
                <w:spacing w:val="-2"/>
                <w:sz w:val="21"/>
                <w:lang w:eastAsia="zh-CN"/>
              </w:rPr>
              <w:t>2</w:t>
            </w:r>
            <w:r>
              <w:rPr>
                <w:spacing w:val="-2"/>
                <w:sz w:val="21"/>
                <w:lang w:eastAsia="zh-CN"/>
              </w:rPr>
              <w:t>、</w:t>
            </w:r>
            <w:r>
              <w:rPr>
                <w:rFonts w:ascii="Times New Roman" w:eastAsia="Times New Roman"/>
                <w:spacing w:val="-2"/>
                <w:sz w:val="21"/>
                <w:lang w:eastAsia="zh-CN"/>
              </w:rPr>
              <w:t>3</w:t>
            </w:r>
            <w:r>
              <w:rPr>
                <w:rFonts w:ascii="Times New Roman" w:eastAsia="Times New Roman"/>
                <w:spacing w:val="14"/>
                <w:sz w:val="21"/>
                <w:lang w:eastAsia="zh-CN"/>
              </w:rPr>
              <w:t xml:space="preserve"> </w:t>
            </w:r>
            <w:r>
              <w:rPr>
                <w:spacing w:val="-2"/>
                <w:sz w:val="21"/>
                <w:lang w:eastAsia="zh-CN"/>
              </w:rPr>
              <w:t>项对应星级要求时，分别为一星级、二星级、三星级</w:t>
            </w:r>
            <w:r>
              <w:rPr>
                <w:spacing w:val="-10"/>
                <w:sz w:val="21"/>
                <w:lang w:eastAsia="zh-CN"/>
              </w:rPr>
              <w:t>）</w:t>
            </w:r>
          </w:p>
        </w:tc>
        <w:tc>
          <w:tcPr>
            <w:tcW w:w="1323" w:type="dxa"/>
            <w:tcBorders>
              <w:top w:val="nil"/>
            </w:tcBorders>
            <w:shd w:val="clear" w:color="auto" w:fill="auto"/>
          </w:tcPr>
          <w:p w14:paraId="00FB97D6">
            <w:pPr>
              <w:rPr>
                <w:sz w:val="2"/>
                <w:szCs w:val="2"/>
              </w:rPr>
            </w:pPr>
            <w:r>
              <w:rPr>
                <w:rFonts w:hint="eastAsia" w:ascii="Times New Roman" w:hAnsi="Times New Roman" w:eastAsia="宋体"/>
                <w:spacing w:val="-2"/>
                <w:sz w:val="21"/>
                <w:lang w:eastAsia="zh-CN"/>
              </w:rPr>
              <w:t>□</w:t>
            </w:r>
            <w:r>
              <w:rPr>
                <w:spacing w:val="-6"/>
                <w:sz w:val="21"/>
              </w:rPr>
              <w:t>一星</w:t>
            </w:r>
          </w:p>
        </w:tc>
      </w:tr>
      <w:tr w14:paraId="2679E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exact"/>
        </w:trPr>
        <w:tc>
          <w:tcPr>
            <w:tcW w:w="7853" w:type="dxa"/>
            <w:gridSpan w:val="9"/>
            <w:vMerge w:val="continue"/>
            <w:shd w:val="clear" w:color="auto" w:fill="auto"/>
          </w:tcPr>
          <w:p w14:paraId="483A9A88">
            <w:pPr>
              <w:rPr>
                <w:sz w:val="2"/>
                <w:szCs w:val="2"/>
              </w:rPr>
            </w:pPr>
          </w:p>
        </w:tc>
        <w:tc>
          <w:tcPr>
            <w:tcW w:w="1323" w:type="dxa"/>
            <w:tcBorders>
              <w:top w:val="nil"/>
            </w:tcBorders>
            <w:shd w:val="clear" w:color="auto" w:fill="auto"/>
          </w:tcPr>
          <w:p w14:paraId="5F08CC67">
            <w:pPr>
              <w:rPr>
                <w:sz w:val="2"/>
                <w:szCs w:val="2"/>
              </w:rPr>
            </w:pPr>
            <w:r>
              <w:rPr>
                <w:rFonts w:ascii="Times New Roman" w:hAnsi="Times New Roman" w:eastAsia="Times New Roman"/>
                <w:spacing w:val="-2"/>
                <w:sz w:val="21"/>
              </w:rPr>
              <w:sym w:font="Wingdings 2" w:char="00A3"/>
            </w:r>
            <w:r>
              <w:rPr>
                <w:spacing w:val="-6"/>
                <w:sz w:val="21"/>
              </w:rPr>
              <w:t>二星</w:t>
            </w:r>
          </w:p>
        </w:tc>
      </w:tr>
      <w:tr w14:paraId="67AFB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exact"/>
        </w:trPr>
        <w:tc>
          <w:tcPr>
            <w:tcW w:w="7853" w:type="dxa"/>
            <w:gridSpan w:val="9"/>
            <w:vMerge w:val="continue"/>
            <w:shd w:val="clear" w:color="auto" w:fill="auto"/>
          </w:tcPr>
          <w:p w14:paraId="6694173F">
            <w:pPr>
              <w:rPr>
                <w:sz w:val="2"/>
                <w:szCs w:val="2"/>
              </w:rPr>
            </w:pPr>
          </w:p>
        </w:tc>
        <w:tc>
          <w:tcPr>
            <w:tcW w:w="1323" w:type="dxa"/>
            <w:tcBorders>
              <w:top w:val="nil"/>
            </w:tcBorders>
            <w:shd w:val="clear" w:color="auto" w:fill="auto"/>
          </w:tcPr>
          <w:p w14:paraId="7236606E">
            <w:pPr>
              <w:rPr>
                <w:sz w:val="2"/>
                <w:szCs w:val="2"/>
              </w:rPr>
            </w:pPr>
            <w:r>
              <w:rPr>
                <w:rFonts w:ascii="Times New Roman" w:hAnsi="Times New Roman" w:eastAsia="Times New Roman"/>
                <w:spacing w:val="-2"/>
                <w:sz w:val="21"/>
              </w:rPr>
              <w:sym w:font="Wingdings 2" w:char="00A3"/>
            </w:r>
            <w:r>
              <w:rPr>
                <w:rFonts w:hint="eastAsia" w:eastAsia="宋体"/>
                <w:spacing w:val="-6"/>
                <w:sz w:val="21"/>
                <w:lang w:val="en-US" w:eastAsia="zh-CN"/>
              </w:rPr>
              <w:t>三</w:t>
            </w:r>
            <w:r>
              <w:rPr>
                <w:spacing w:val="-6"/>
                <w:sz w:val="21"/>
              </w:rPr>
              <w:t>星</w:t>
            </w:r>
          </w:p>
        </w:tc>
      </w:tr>
    </w:tbl>
    <w:p w14:paraId="2DA5C4CF">
      <w:pPr>
        <w:jc w:val="center"/>
        <w:rPr>
          <w:sz w:val="21"/>
        </w:rPr>
        <w:sectPr>
          <w:footerReference r:id="rId3" w:type="default"/>
          <w:type w:val="continuous"/>
          <w:pgSz w:w="11910" w:h="16840"/>
          <w:pgMar w:top="640" w:right="1500" w:bottom="1696" w:left="1680" w:header="720" w:footer="720" w:gutter="0"/>
          <w:pgBorders>
            <w:top w:val="none" w:sz="0" w:space="0"/>
            <w:left w:val="none" w:sz="0" w:space="0"/>
            <w:bottom w:val="none" w:sz="0" w:space="0"/>
            <w:right w:val="none" w:sz="0" w:space="0"/>
          </w:pgBorders>
          <w:pgNumType w:fmt="decimal"/>
          <w:cols w:space="720" w:num="1"/>
        </w:sectPr>
      </w:pPr>
    </w:p>
    <w:p w14:paraId="3549FA01">
      <w:pPr>
        <w:rPr>
          <w:sz w:val="21"/>
        </w:rPr>
        <w:sectPr>
          <w:type w:val="continuous"/>
          <w:pgSz w:w="11910" w:h="16840"/>
          <w:pgMar w:top="1540" w:right="1500" w:bottom="280" w:left="1680" w:header="720" w:footer="720" w:gutter="0"/>
          <w:pgBorders>
            <w:top w:val="none" w:sz="0" w:space="0"/>
            <w:left w:val="none" w:sz="0" w:space="0"/>
            <w:bottom w:val="none" w:sz="0" w:space="0"/>
            <w:right w:val="none" w:sz="0" w:space="0"/>
          </w:pgBorders>
          <w:pgNumType w:fmt="decimal"/>
          <w:cols w:space="720" w:num="1"/>
        </w:sectPr>
      </w:pPr>
    </w:p>
    <w:p w14:paraId="6B77DC85">
      <w:pPr>
        <w:pStyle w:val="4"/>
        <w:ind w:right="4074"/>
        <w:jc w:val="center"/>
        <w:rPr>
          <w:rFonts w:ascii="Times New Roman"/>
          <w:sz w:val="20"/>
        </w:rPr>
      </w:pPr>
      <w:r>
        <w:rPr>
          <w:rFonts w:hint="eastAsia"/>
          <w:i w:val="0"/>
          <w:sz w:val="28"/>
          <w:lang w:val="en-US" w:eastAsia="zh-CN"/>
        </w:rPr>
        <w:t xml:space="preserve">                          </w:t>
      </w:r>
      <w:r>
        <w:rPr>
          <w:i w:val="0"/>
          <w:sz w:val="28"/>
          <w:lang w:eastAsia="zh-CN"/>
        </w:rPr>
        <w:t>GB/T</w:t>
      </w:r>
      <w:r>
        <w:rPr>
          <w:i w:val="0"/>
          <w:spacing w:val="-8"/>
          <w:sz w:val="28"/>
          <w:lang w:eastAsia="zh-CN"/>
        </w:rPr>
        <w:t xml:space="preserve"> </w:t>
      </w:r>
      <w:r>
        <w:rPr>
          <w:i w:val="0"/>
          <w:sz w:val="28"/>
          <w:lang w:eastAsia="zh-CN"/>
        </w:rPr>
        <w:t>50378-2019</w:t>
      </w:r>
      <w:r>
        <w:rPr>
          <w:i w:val="0"/>
          <w:spacing w:val="-1"/>
          <w:sz w:val="28"/>
          <w:lang w:eastAsia="zh-CN"/>
        </w:rPr>
        <w:t xml:space="preserve"> </w:t>
      </w:r>
      <w:r>
        <w:rPr>
          <w:rFonts w:hint="eastAsia" w:eastAsia="宋体"/>
          <w:i w:val="0"/>
          <w:sz w:val="28"/>
          <w:lang w:eastAsia="zh-CN"/>
        </w:rPr>
        <w:t>（</w:t>
      </w:r>
      <w:r>
        <w:rPr>
          <w:rFonts w:hint="eastAsia" w:ascii="Times New Roman" w:eastAsia="宋体"/>
          <w:i w:val="0"/>
          <w:sz w:val="28"/>
          <w:lang w:val="en-US" w:eastAsia="zh-CN"/>
        </w:rPr>
        <w:t>2024修改版</w:t>
      </w:r>
      <w:r>
        <w:rPr>
          <w:rFonts w:hint="eastAsia" w:eastAsia="宋体"/>
          <w:i w:val="0"/>
          <w:sz w:val="28"/>
          <w:lang w:eastAsia="zh-CN"/>
        </w:rPr>
        <w:t>）</w:t>
      </w:r>
      <w:r>
        <w:rPr>
          <w:rFonts w:ascii="宋体" w:eastAsia="宋体"/>
          <w:b w:val="0"/>
          <w:i w:val="0"/>
          <w:spacing w:val="-9"/>
          <w:sz w:val="28"/>
          <w:lang w:eastAsia="zh-CN"/>
        </w:rPr>
        <w:t xml:space="preserve">绿色建筑自评表 </w:t>
      </w:r>
      <w:r>
        <w:rPr>
          <w:i w:val="0"/>
          <w:sz w:val="28"/>
          <w:lang w:eastAsia="zh-CN"/>
        </w:rPr>
        <w:t>2</w:t>
      </w:r>
      <w:r>
        <w:rPr>
          <w:i w:val="0"/>
          <w:spacing w:val="22"/>
          <w:sz w:val="28"/>
          <w:lang w:eastAsia="zh-CN"/>
        </w:rPr>
        <w:t xml:space="preserve"> </w:t>
      </w:r>
      <w:bookmarkStart w:id="0" w:name="_GoBack"/>
      <w:bookmarkEnd w:id="0"/>
    </w:p>
    <w:tbl>
      <w:tblPr>
        <w:tblStyle w:val="5"/>
        <w:tblW w:w="5113" w:type="pct"/>
        <w:tblInd w:w="-3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49"/>
        <w:gridCol w:w="843"/>
        <w:gridCol w:w="998"/>
        <w:gridCol w:w="947"/>
        <w:gridCol w:w="721"/>
        <w:gridCol w:w="2765"/>
        <w:gridCol w:w="947"/>
        <w:gridCol w:w="895"/>
        <w:gridCol w:w="710"/>
        <w:gridCol w:w="4040"/>
      </w:tblGrid>
      <w:tr w14:paraId="668EC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trPr>
        <w:tc>
          <w:tcPr>
            <w:tcW w:w="537" w:type="pct"/>
            <w:shd w:val="clear" w:color="auto" w:fill="auto"/>
            <w:noWrap/>
            <w:vAlign w:val="center"/>
          </w:tcPr>
          <w:p w14:paraId="79B060C8">
            <w:pPr>
              <w:keepNext w:val="0"/>
              <w:keepLines w:val="0"/>
              <w:widowControl/>
              <w:suppressLineNumbers w:val="0"/>
              <w:jc w:val="center"/>
              <w:textAlignment w:val="center"/>
              <w:rPr>
                <w:rFonts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章节</w:t>
            </w:r>
          </w:p>
        </w:tc>
        <w:tc>
          <w:tcPr>
            <w:tcW w:w="292" w:type="pct"/>
            <w:shd w:val="clear" w:color="auto" w:fill="auto"/>
            <w:vAlign w:val="center"/>
          </w:tcPr>
          <w:p w14:paraId="53A6061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分类</w:t>
            </w:r>
          </w:p>
        </w:tc>
        <w:tc>
          <w:tcPr>
            <w:tcW w:w="346" w:type="pct"/>
            <w:shd w:val="clear" w:color="auto" w:fill="auto"/>
            <w:vAlign w:val="center"/>
          </w:tcPr>
          <w:p w14:paraId="5E1D8FE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编号</w:t>
            </w:r>
          </w:p>
        </w:tc>
        <w:tc>
          <w:tcPr>
            <w:tcW w:w="1536" w:type="pct"/>
            <w:gridSpan w:val="3"/>
            <w:shd w:val="clear" w:color="auto" w:fill="auto"/>
            <w:vAlign w:val="center"/>
          </w:tcPr>
          <w:p w14:paraId="48F4BB8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标准条文</w:t>
            </w:r>
          </w:p>
        </w:tc>
        <w:tc>
          <w:tcPr>
            <w:tcW w:w="328" w:type="pct"/>
            <w:shd w:val="clear" w:color="auto" w:fill="auto"/>
            <w:vAlign w:val="center"/>
          </w:tcPr>
          <w:p w14:paraId="7C30038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专业组</w:t>
            </w:r>
          </w:p>
        </w:tc>
        <w:tc>
          <w:tcPr>
            <w:tcW w:w="310" w:type="pct"/>
            <w:shd w:val="clear" w:color="auto" w:fill="auto"/>
            <w:vAlign w:val="center"/>
          </w:tcPr>
          <w:p w14:paraId="79E5B1C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总分值</w:t>
            </w:r>
          </w:p>
        </w:tc>
        <w:tc>
          <w:tcPr>
            <w:tcW w:w="246" w:type="pct"/>
            <w:shd w:val="clear" w:color="auto" w:fill="auto"/>
            <w:vAlign w:val="center"/>
          </w:tcPr>
          <w:p w14:paraId="2CC3876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评价得分</w:t>
            </w:r>
          </w:p>
        </w:tc>
        <w:tc>
          <w:tcPr>
            <w:tcW w:w="1400" w:type="pct"/>
            <w:shd w:val="clear" w:color="auto" w:fill="auto"/>
            <w:vAlign w:val="center"/>
          </w:tcPr>
          <w:p w14:paraId="063F890E">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索引位置（评价意见）</w:t>
            </w:r>
          </w:p>
        </w:tc>
      </w:tr>
      <w:tr w14:paraId="2A66E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537" w:type="pct"/>
            <w:shd w:val="clear" w:color="auto" w:fill="auto"/>
            <w:vAlign w:val="center"/>
          </w:tcPr>
          <w:p w14:paraId="1514B5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安全耐久</w:t>
            </w:r>
          </w:p>
        </w:tc>
        <w:tc>
          <w:tcPr>
            <w:tcW w:w="292" w:type="pct"/>
            <w:shd w:val="clear" w:color="auto" w:fill="auto"/>
            <w:vAlign w:val="center"/>
          </w:tcPr>
          <w:p w14:paraId="05529C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3DEC2F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4.1.1</w:t>
            </w:r>
          </w:p>
        </w:tc>
        <w:tc>
          <w:tcPr>
            <w:tcW w:w="1536" w:type="pct"/>
            <w:gridSpan w:val="3"/>
            <w:shd w:val="clear" w:color="auto" w:fill="auto"/>
            <w:vAlign w:val="center"/>
          </w:tcPr>
          <w:p w14:paraId="3DEED86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场地应避开滑坡、泥石流等地质危险地段，易发生洪涝区有可靠的防涝基础设施；场地应无危险化学品、易燃易爆源的威胁，无电磁辐射、含氡土壤的危害。</w:t>
            </w:r>
          </w:p>
        </w:tc>
        <w:tc>
          <w:tcPr>
            <w:tcW w:w="328" w:type="pct"/>
            <w:shd w:val="clear" w:color="auto" w:fill="auto"/>
            <w:vAlign w:val="center"/>
          </w:tcPr>
          <w:p w14:paraId="152F75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6B57CD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013510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3BFE86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1BE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537" w:type="pct"/>
            <w:shd w:val="clear" w:color="auto" w:fill="auto"/>
            <w:vAlign w:val="center"/>
          </w:tcPr>
          <w:p w14:paraId="2709F4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安全耐久</w:t>
            </w:r>
          </w:p>
        </w:tc>
        <w:tc>
          <w:tcPr>
            <w:tcW w:w="292" w:type="pct"/>
            <w:shd w:val="clear" w:color="auto" w:fill="auto"/>
            <w:vAlign w:val="center"/>
          </w:tcPr>
          <w:p w14:paraId="38E1B8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7573AA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4.1.2</w:t>
            </w:r>
          </w:p>
        </w:tc>
        <w:tc>
          <w:tcPr>
            <w:tcW w:w="1536" w:type="pct"/>
            <w:gridSpan w:val="3"/>
            <w:shd w:val="clear" w:color="auto" w:fill="auto"/>
            <w:vAlign w:val="center"/>
          </w:tcPr>
          <w:p w14:paraId="460A749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建筑结构应满足承载力和建筑使用功能要求。建筑外墙、屋面门窗幕墙及外保温等围护结构应满足安全、耐久和防护的要求。</w:t>
            </w:r>
          </w:p>
        </w:tc>
        <w:tc>
          <w:tcPr>
            <w:tcW w:w="328" w:type="pct"/>
            <w:shd w:val="clear" w:color="auto" w:fill="auto"/>
            <w:vAlign w:val="center"/>
          </w:tcPr>
          <w:p w14:paraId="6A58BD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6DC0E6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28384A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376A246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3DA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537" w:type="pct"/>
            <w:shd w:val="clear" w:color="auto" w:fill="auto"/>
            <w:vAlign w:val="center"/>
          </w:tcPr>
          <w:p w14:paraId="00F1AB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安全耐久</w:t>
            </w:r>
          </w:p>
        </w:tc>
        <w:tc>
          <w:tcPr>
            <w:tcW w:w="292" w:type="pct"/>
            <w:shd w:val="clear" w:color="auto" w:fill="auto"/>
            <w:vAlign w:val="center"/>
          </w:tcPr>
          <w:p w14:paraId="72F0C3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71E625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4.1.3</w:t>
            </w:r>
          </w:p>
        </w:tc>
        <w:tc>
          <w:tcPr>
            <w:tcW w:w="1536" w:type="pct"/>
            <w:gridSpan w:val="3"/>
            <w:shd w:val="clear" w:color="auto" w:fill="auto"/>
            <w:vAlign w:val="center"/>
          </w:tcPr>
          <w:p w14:paraId="36CDA3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外遮阳、太阳能设施、空调室外机位、外墙花池等部外部设施应与建筑主体结构统一设计、施工，并应具备安装、检修与维护条件。</w:t>
            </w:r>
          </w:p>
        </w:tc>
        <w:tc>
          <w:tcPr>
            <w:tcW w:w="328" w:type="pct"/>
            <w:shd w:val="clear" w:color="auto" w:fill="auto"/>
            <w:vAlign w:val="center"/>
          </w:tcPr>
          <w:p w14:paraId="048F14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建筑、结构</w:t>
            </w:r>
          </w:p>
        </w:tc>
        <w:tc>
          <w:tcPr>
            <w:tcW w:w="310" w:type="pct"/>
            <w:shd w:val="clear" w:color="auto" w:fill="auto"/>
            <w:vAlign w:val="center"/>
          </w:tcPr>
          <w:p w14:paraId="1E0FF4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162DAE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223F74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791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7" w:hRule="atLeast"/>
        </w:trPr>
        <w:tc>
          <w:tcPr>
            <w:tcW w:w="537" w:type="pct"/>
            <w:shd w:val="clear" w:color="auto" w:fill="auto"/>
            <w:vAlign w:val="center"/>
          </w:tcPr>
          <w:p w14:paraId="272E68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安全耐久</w:t>
            </w:r>
          </w:p>
        </w:tc>
        <w:tc>
          <w:tcPr>
            <w:tcW w:w="292" w:type="pct"/>
            <w:shd w:val="clear" w:color="auto" w:fill="auto"/>
            <w:vAlign w:val="center"/>
          </w:tcPr>
          <w:p w14:paraId="0FA41F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4A1653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4.1.4</w:t>
            </w:r>
          </w:p>
        </w:tc>
        <w:tc>
          <w:tcPr>
            <w:tcW w:w="1536" w:type="pct"/>
            <w:gridSpan w:val="3"/>
            <w:shd w:val="clear" w:color="auto" w:fill="auto"/>
            <w:vAlign w:val="center"/>
          </w:tcPr>
          <w:p w14:paraId="26BAF1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建筑内部的非结构件、设备及附属设施等应连接牢固并能适应主体结构变形。</w:t>
            </w:r>
          </w:p>
        </w:tc>
        <w:tc>
          <w:tcPr>
            <w:tcW w:w="328" w:type="pct"/>
            <w:shd w:val="clear" w:color="auto" w:fill="auto"/>
            <w:vAlign w:val="center"/>
          </w:tcPr>
          <w:p w14:paraId="1DD0A5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w:t>
            </w:r>
          </w:p>
        </w:tc>
        <w:tc>
          <w:tcPr>
            <w:tcW w:w="310" w:type="pct"/>
            <w:shd w:val="clear" w:color="auto" w:fill="auto"/>
            <w:vAlign w:val="center"/>
          </w:tcPr>
          <w:p w14:paraId="77F345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048781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2E0650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E50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37" w:type="pct"/>
            <w:shd w:val="clear" w:color="auto" w:fill="auto"/>
            <w:vAlign w:val="center"/>
          </w:tcPr>
          <w:p w14:paraId="2B0BA8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安全耐久</w:t>
            </w:r>
          </w:p>
        </w:tc>
        <w:tc>
          <w:tcPr>
            <w:tcW w:w="292" w:type="pct"/>
            <w:shd w:val="clear" w:color="auto" w:fill="auto"/>
            <w:vAlign w:val="center"/>
          </w:tcPr>
          <w:p w14:paraId="0F36C3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69214B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4.1.5</w:t>
            </w:r>
          </w:p>
        </w:tc>
        <w:tc>
          <w:tcPr>
            <w:tcW w:w="1536" w:type="pct"/>
            <w:gridSpan w:val="3"/>
            <w:shd w:val="clear" w:color="auto" w:fill="auto"/>
            <w:vAlign w:val="center"/>
          </w:tcPr>
          <w:p w14:paraId="479402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建筑外门窗必须安装牢靠，其抗风压性能和水密性能应符合国家现行有关标准的规定</w:t>
            </w:r>
          </w:p>
        </w:tc>
        <w:tc>
          <w:tcPr>
            <w:tcW w:w="328" w:type="pct"/>
            <w:shd w:val="clear" w:color="auto" w:fill="auto"/>
            <w:vAlign w:val="center"/>
          </w:tcPr>
          <w:p w14:paraId="21C117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778B70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1C531A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56E84D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010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5" w:hRule="atLeast"/>
        </w:trPr>
        <w:tc>
          <w:tcPr>
            <w:tcW w:w="537" w:type="pct"/>
            <w:shd w:val="clear" w:color="auto" w:fill="auto"/>
            <w:vAlign w:val="center"/>
          </w:tcPr>
          <w:p w14:paraId="4E988F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安全耐久</w:t>
            </w:r>
          </w:p>
        </w:tc>
        <w:tc>
          <w:tcPr>
            <w:tcW w:w="292" w:type="pct"/>
            <w:shd w:val="clear" w:color="auto" w:fill="auto"/>
            <w:vAlign w:val="center"/>
          </w:tcPr>
          <w:p w14:paraId="55F0C4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590A03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4.1.6</w:t>
            </w:r>
          </w:p>
        </w:tc>
        <w:tc>
          <w:tcPr>
            <w:tcW w:w="1536" w:type="pct"/>
            <w:gridSpan w:val="3"/>
            <w:shd w:val="clear" w:color="auto" w:fill="auto"/>
            <w:vAlign w:val="center"/>
          </w:tcPr>
          <w:p w14:paraId="5B6AF3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卫生间、浴室的地面应设置防水层，墙面、顶棚应设置防潮层。</w:t>
            </w:r>
          </w:p>
        </w:tc>
        <w:tc>
          <w:tcPr>
            <w:tcW w:w="328" w:type="pct"/>
            <w:shd w:val="clear" w:color="auto" w:fill="auto"/>
            <w:vAlign w:val="center"/>
          </w:tcPr>
          <w:p w14:paraId="5A16DA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342071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2D08D4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326A51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772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537" w:type="pct"/>
            <w:shd w:val="clear" w:color="auto" w:fill="auto"/>
            <w:vAlign w:val="center"/>
          </w:tcPr>
          <w:p w14:paraId="07A79B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安全耐久</w:t>
            </w:r>
          </w:p>
        </w:tc>
        <w:tc>
          <w:tcPr>
            <w:tcW w:w="292" w:type="pct"/>
            <w:shd w:val="clear" w:color="auto" w:fill="auto"/>
            <w:vAlign w:val="center"/>
          </w:tcPr>
          <w:p w14:paraId="19E9A9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0C71E6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4.1.7</w:t>
            </w:r>
          </w:p>
        </w:tc>
        <w:tc>
          <w:tcPr>
            <w:tcW w:w="1536" w:type="pct"/>
            <w:gridSpan w:val="3"/>
            <w:shd w:val="clear" w:color="auto" w:fill="auto"/>
            <w:vAlign w:val="center"/>
          </w:tcPr>
          <w:p w14:paraId="4E67220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走廊、疏散通道等通行空间应满足紧急疏散、应急救护等要求，且应保持畅通。</w:t>
            </w:r>
          </w:p>
        </w:tc>
        <w:tc>
          <w:tcPr>
            <w:tcW w:w="328" w:type="pct"/>
            <w:shd w:val="clear" w:color="auto" w:fill="auto"/>
            <w:vAlign w:val="center"/>
          </w:tcPr>
          <w:p w14:paraId="63B700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2440E8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0AEFE5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384F3B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BF1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8" w:hRule="atLeast"/>
        </w:trPr>
        <w:tc>
          <w:tcPr>
            <w:tcW w:w="537" w:type="pct"/>
            <w:shd w:val="clear" w:color="auto" w:fill="auto"/>
            <w:vAlign w:val="center"/>
          </w:tcPr>
          <w:p w14:paraId="37A105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安全耐久</w:t>
            </w:r>
          </w:p>
        </w:tc>
        <w:tc>
          <w:tcPr>
            <w:tcW w:w="292" w:type="pct"/>
            <w:shd w:val="clear" w:color="auto" w:fill="auto"/>
            <w:vAlign w:val="center"/>
          </w:tcPr>
          <w:p w14:paraId="6C41B3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3EDB8D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4.1.8</w:t>
            </w:r>
          </w:p>
        </w:tc>
        <w:tc>
          <w:tcPr>
            <w:tcW w:w="1536" w:type="pct"/>
            <w:gridSpan w:val="3"/>
            <w:shd w:val="clear" w:color="auto" w:fill="auto"/>
            <w:vAlign w:val="center"/>
          </w:tcPr>
          <w:p w14:paraId="4858B9B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应具有安全防护的警示和引导标识系统。</w:t>
            </w:r>
          </w:p>
        </w:tc>
        <w:tc>
          <w:tcPr>
            <w:tcW w:w="328" w:type="pct"/>
            <w:shd w:val="clear" w:color="auto" w:fill="auto"/>
            <w:vAlign w:val="center"/>
          </w:tcPr>
          <w:p w14:paraId="1CB61C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0D0CE2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7AB3ED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5F3A7D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265E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60" w:hRule="atLeast"/>
        </w:trPr>
        <w:tc>
          <w:tcPr>
            <w:tcW w:w="537" w:type="pct"/>
            <w:shd w:val="clear" w:color="auto" w:fill="auto"/>
            <w:vAlign w:val="center"/>
          </w:tcPr>
          <w:p w14:paraId="48B0D6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安全耐久</w:t>
            </w:r>
          </w:p>
        </w:tc>
        <w:tc>
          <w:tcPr>
            <w:tcW w:w="292" w:type="pct"/>
            <w:shd w:val="clear" w:color="auto" w:fill="auto"/>
            <w:vAlign w:val="center"/>
          </w:tcPr>
          <w:p w14:paraId="107B35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575C2F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4.1.9</w:t>
            </w:r>
          </w:p>
        </w:tc>
        <w:tc>
          <w:tcPr>
            <w:tcW w:w="1536" w:type="pct"/>
            <w:gridSpan w:val="3"/>
            <w:shd w:val="clear" w:color="auto" w:fill="auto"/>
            <w:vAlign w:val="center"/>
          </w:tcPr>
          <w:p w14:paraId="497E7B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安全耐久相关技术要求应符合现行强制性工程建设规范《工程结构通用规范》GB 55001、《建筑与市政工程抗震通用规范》GB 55002、《建筑与市政地基基础通用规范》GB 55003、《组合结构通用规范》GB 55004、《木结构通用规范》GB 55005、《钢结构通用规范》GB 55006、《砌体结构通用规范》GB 55007、《混凝土结构通用规范》GB 55008、《燃气工程项目规范》GB55009、《供热工程项目规范》GB 55010、《建筑环境通用规范》GB 55016、《建筑给水排水与节水通用规范》GB 55020、《民用建筑通用规范》GB 55031、《建筑防火通用规范》GB 55037等的规定。</w:t>
            </w:r>
          </w:p>
        </w:tc>
        <w:tc>
          <w:tcPr>
            <w:tcW w:w="328" w:type="pct"/>
            <w:shd w:val="clear" w:color="auto" w:fill="auto"/>
            <w:vAlign w:val="center"/>
          </w:tcPr>
          <w:p w14:paraId="492536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全专业</w:t>
            </w:r>
          </w:p>
        </w:tc>
        <w:tc>
          <w:tcPr>
            <w:tcW w:w="310" w:type="pct"/>
            <w:shd w:val="clear" w:color="auto" w:fill="auto"/>
            <w:vAlign w:val="center"/>
          </w:tcPr>
          <w:p w14:paraId="7DE5F7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0047A7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5A14377B">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10B6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58" w:hRule="atLeast"/>
        </w:trPr>
        <w:tc>
          <w:tcPr>
            <w:tcW w:w="537" w:type="pct"/>
            <w:shd w:val="clear" w:color="auto" w:fill="auto"/>
            <w:vAlign w:val="center"/>
          </w:tcPr>
          <w:p w14:paraId="1D44DA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安全耐久</w:t>
            </w:r>
          </w:p>
        </w:tc>
        <w:tc>
          <w:tcPr>
            <w:tcW w:w="292" w:type="pct"/>
            <w:shd w:val="clear" w:color="auto" w:fill="auto"/>
            <w:vAlign w:val="center"/>
          </w:tcPr>
          <w:p w14:paraId="46433F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230AEA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4.2.1</w:t>
            </w:r>
          </w:p>
        </w:tc>
        <w:tc>
          <w:tcPr>
            <w:tcW w:w="1536" w:type="pct"/>
            <w:gridSpan w:val="3"/>
            <w:shd w:val="clear" w:color="auto" w:fill="auto"/>
            <w:vAlign w:val="center"/>
          </w:tcPr>
          <w:p w14:paraId="6F7997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采用基于性能的抗震设计并合理提高建筑的抗震性能。</w:t>
            </w:r>
          </w:p>
        </w:tc>
        <w:tc>
          <w:tcPr>
            <w:tcW w:w="328" w:type="pct"/>
            <w:shd w:val="clear" w:color="auto" w:fill="auto"/>
            <w:vAlign w:val="center"/>
          </w:tcPr>
          <w:p w14:paraId="6DF7C3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w:t>
            </w:r>
          </w:p>
        </w:tc>
        <w:tc>
          <w:tcPr>
            <w:tcW w:w="310" w:type="pct"/>
            <w:shd w:val="clear" w:color="auto" w:fill="auto"/>
            <w:vAlign w:val="center"/>
          </w:tcPr>
          <w:p w14:paraId="050AF6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 w:type="pct"/>
            <w:shd w:val="clear" w:color="auto" w:fill="auto"/>
            <w:vAlign w:val="center"/>
          </w:tcPr>
          <w:p w14:paraId="5BE14C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16E484A7">
            <w:pPr>
              <w:rPr>
                <w:rFonts w:hint="eastAsia" w:ascii="等线" w:hAnsi="等线" w:eastAsia="等线" w:cs="等线"/>
                <w:i w:val="0"/>
                <w:iCs w:val="0"/>
                <w:color w:val="000000"/>
                <w:sz w:val="21"/>
                <w:szCs w:val="21"/>
                <w:u w:val="none"/>
              </w:rPr>
            </w:pPr>
          </w:p>
        </w:tc>
      </w:tr>
      <w:tr w14:paraId="4EB8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37" w:type="pct"/>
            <w:vMerge w:val="restart"/>
            <w:shd w:val="clear" w:color="auto" w:fill="auto"/>
            <w:vAlign w:val="center"/>
          </w:tcPr>
          <w:p w14:paraId="073046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安全耐久</w:t>
            </w:r>
          </w:p>
        </w:tc>
        <w:tc>
          <w:tcPr>
            <w:tcW w:w="292" w:type="pct"/>
            <w:vMerge w:val="restart"/>
            <w:shd w:val="clear" w:color="auto" w:fill="auto"/>
            <w:vAlign w:val="center"/>
          </w:tcPr>
          <w:p w14:paraId="452FC5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048A41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4.2.2</w:t>
            </w:r>
          </w:p>
        </w:tc>
        <w:tc>
          <w:tcPr>
            <w:tcW w:w="578" w:type="pct"/>
            <w:gridSpan w:val="2"/>
            <w:vMerge w:val="restart"/>
            <w:shd w:val="clear" w:color="auto" w:fill="auto"/>
            <w:vAlign w:val="center"/>
          </w:tcPr>
          <w:p w14:paraId="5755B8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采取保障人员安全的防护措施。</w:t>
            </w:r>
          </w:p>
        </w:tc>
        <w:tc>
          <w:tcPr>
            <w:tcW w:w="958" w:type="pct"/>
            <w:shd w:val="clear" w:color="auto" w:fill="auto"/>
            <w:vAlign w:val="center"/>
          </w:tcPr>
          <w:p w14:paraId="49F7C7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1釆取措施提高阳台、外窗、窗台、防护栏杆等安全防护水平，得5分；</w:t>
            </w:r>
          </w:p>
        </w:tc>
        <w:tc>
          <w:tcPr>
            <w:tcW w:w="328" w:type="pct"/>
            <w:shd w:val="clear" w:color="auto" w:fill="auto"/>
            <w:vAlign w:val="center"/>
          </w:tcPr>
          <w:p w14:paraId="5C9D3B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vMerge w:val="restart"/>
            <w:shd w:val="clear" w:color="auto" w:fill="auto"/>
            <w:vAlign w:val="center"/>
          </w:tcPr>
          <w:p w14:paraId="4DE4C6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246" w:type="pct"/>
            <w:shd w:val="clear" w:color="auto" w:fill="auto"/>
            <w:vAlign w:val="center"/>
          </w:tcPr>
          <w:p w14:paraId="6F65B6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22E9F469">
            <w:pPr>
              <w:rPr>
                <w:rFonts w:hint="eastAsia" w:ascii="等线" w:hAnsi="等线" w:eastAsia="等线" w:cs="等线"/>
                <w:i w:val="0"/>
                <w:iCs w:val="0"/>
                <w:color w:val="000000"/>
                <w:sz w:val="21"/>
                <w:szCs w:val="21"/>
                <w:u w:val="none"/>
              </w:rPr>
            </w:pPr>
          </w:p>
        </w:tc>
      </w:tr>
      <w:tr w14:paraId="16BE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15" w:hRule="atLeast"/>
        </w:trPr>
        <w:tc>
          <w:tcPr>
            <w:tcW w:w="537" w:type="pct"/>
            <w:vMerge w:val="continue"/>
            <w:shd w:val="clear" w:color="auto" w:fill="auto"/>
            <w:vAlign w:val="center"/>
          </w:tcPr>
          <w:p w14:paraId="7DD7613B">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0A514322">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376F9F6A">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074A790D">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5FAA11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2建筑物出入口均设外墙饰面、门窗玻璃意外脱落的防护措施，并与人员 通行区域的遮阳、遮风或挡雨措施结合，得5分；</w:t>
            </w:r>
          </w:p>
        </w:tc>
        <w:tc>
          <w:tcPr>
            <w:tcW w:w="328" w:type="pct"/>
            <w:shd w:val="clear" w:color="auto" w:fill="auto"/>
            <w:vAlign w:val="center"/>
          </w:tcPr>
          <w:p w14:paraId="5F3C35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vMerge w:val="continue"/>
            <w:shd w:val="clear" w:color="auto" w:fill="auto"/>
            <w:vAlign w:val="center"/>
          </w:tcPr>
          <w:p w14:paraId="171FC930">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29A5B4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0B0414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E69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537" w:type="pct"/>
            <w:vMerge w:val="continue"/>
            <w:shd w:val="clear" w:color="auto" w:fill="auto"/>
            <w:vAlign w:val="center"/>
          </w:tcPr>
          <w:p w14:paraId="136A0FE6">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6AD97901">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11C094DA">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7A931C26">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60D1A5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3利用场地或景观形成可降低坠物风险的缓冲区、隔离带，得5分。</w:t>
            </w:r>
          </w:p>
        </w:tc>
        <w:tc>
          <w:tcPr>
            <w:tcW w:w="328" w:type="pct"/>
            <w:shd w:val="clear" w:color="auto" w:fill="auto"/>
            <w:vAlign w:val="center"/>
          </w:tcPr>
          <w:p w14:paraId="485566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建筑、景观</w:t>
            </w:r>
          </w:p>
        </w:tc>
        <w:tc>
          <w:tcPr>
            <w:tcW w:w="310" w:type="pct"/>
            <w:vMerge w:val="continue"/>
            <w:shd w:val="clear" w:color="auto" w:fill="auto"/>
            <w:vAlign w:val="center"/>
          </w:tcPr>
          <w:p w14:paraId="1F243A64">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39DF16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694DF639">
            <w:pPr>
              <w:rPr>
                <w:rFonts w:hint="eastAsia" w:ascii="宋体" w:hAnsi="宋体" w:eastAsia="宋体" w:cs="宋体"/>
                <w:i w:val="0"/>
                <w:iCs w:val="0"/>
                <w:color w:val="000000"/>
                <w:sz w:val="21"/>
                <w:szCs w:val="21"/>
                <w:u w:val="none"/>
              </w:rPr>
            </w:pPr>
          </w:p>
        </w:tc>
      </w:tr>
      <w:tr w14:paraId="290E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537" w:type="pct"/>
            <w:vMerge w:val="restart"/>
            <w:shd w:val="clear" w:color="auto" w:fill="auto"/>
            <w:vAlign w:val="center"/>
          </w:tcPr>
          <w:p w14:paraId="34E424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安全耐久</w:t>
            </w:r>
          </w:p>
        </w:tc>
        <w:tc>
          <w:tcPr>
            <w:tcW w:w="292" w:type="pct"/>
            <w:vMerge w:val="restart"/>
            <w:shd w:val="clear" w:color="auto" w:fill="auto"/>
            <w:vAlign w:val="center"/>
          </w:tcPr>
          <w:p w14:paraId="2A582B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061271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4.2.3</w:t>
            </w:r>
          </w:p>
        </w:tc>
        <w:tc>
          <w:tcPr>
            <w:tcW w:w="578" w:type="pct"/>
            <w:gridSpan w:val="2"/>
            <w:vMerge w:val="restart"/>
            <w:shd w:val="clear" w:color="auto" w:fill="auto"/>
            <w:vAlign w:val="center"/>
          </w:tcPr>
          <w:p w14:paraId="63F232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采用具有安全防护功能的产品或配件。</w:t>
            </w:r>
          </w:p>
        </w:tc>
        <w:tc>
          <w:tcPr>
            <w:tcW w:w="958" w:type="pct"/>
            <w:shd w:val="clear" w:color="auto" w:fill="auto"/>
            <w:vAlign w:val="center"/>
          </w:tcPr>
          <w:p w14:paraId="1771AA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1釆用具有安全防护功能的玻璃，得5分；</w:t>
            </w:r>
          </w:p>
        </w:tc>
        <w:tc>
          <w:tcPr>
            <w:tcW w:w="328" w:type="pct"/>
            <w:shd w:val="clear" w:color="auto" w:fill="auto"/>
            <w:vAlign w:val="center"/>
          </w:tcPr>
          <w:p w14:paraId="1F1643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vMerge w:val="restart"/>
            <w:shd w:val="clear" w:color="auto" w:fill="auto"/>
            <w:vAlign w:val="center"/>
          </w:tcPr>
          <w:p w14:paraId="4218F3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 w:type="pct"/>
            <w:shd w:val="clear" w:color="auto" w:fill="auto"/>
            <w:vAlign w:val="center"/>
          </w:tcPr>
          <w:p w14:paraId="660747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49CE8E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6F5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537" w:type="pct"/>
            <w:vMerge w:val="continue"/>
            <w:shd w:val="clear" w:color="auto" w:fill="auto"/>
            <w:vAlign w:val="center"/>
          </w:tcPr>
          <w:p w14:paraId="49C18F30">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62DBC022">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417575BA">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6477B67E">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7D9972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2釆用具备防夹功能的门窗，得5分。</w:t>
            </w:r>
          </w:p>
        </w:tc>
        <w:tc>
          <w:tcPr>
            <w:tcW w:w="328" w:type="pct"/>
            <w:shd w:val="clear" w:color="auto" w:fill="auto"/>
            <w:vAlign w:val="center"/>
          </w:tcPr>
          <w:p w14:paraId="62813A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vMerge w:val="continue"/>
            <w:shd w:val="clear" w:color="auto" w:fill="auto"/>
            <w:vAlign w:val="center"/>
          </w:tcPr>
          <w:p w14:paraId="0F46B2E6">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6A7EF3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2773A1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178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537" w:type="pct"/>
            <w:vMerge w:val="restart"/>
            <w:shd w:val="clear" w:color="auto" w:fill="auto"/>
            <w:vAlign w:val="center"/>
          </w:tcPr>
          <w:p w14:paraId="0FC83E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安全耐久</w:t>
            </w:r>
          </w:p>
        </w:tc>
        <w:tc>
          <w:tcPr>
            <w:tcW w:w="292" w:type="pct"/>
            <w:vMerge w:val="restart"/>
            <w:shd w:val="clear" w:color="auto" w:fill="auto"/>
            <w:vAlign w:val="center"/>
          </w:tcPr>
          <w:p w14:paraId="6375A1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74D1B6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4.2.4</w:t>
            </w:r>
          </w:p>
        </w:tc>
        <w:tc>
          <w:tcPr>
            <w:tcW w:w="578" w:type="pct"/>
            <w:gridSpan w:val="2"/>
            <w:vMerge w:val="restart"/>
            <w:shd w:val="clear" w:color="auto" w:fill="auto"/>
            <w:vAlign w:val="center"/>
          </w:tcPr>
          <w:p w14:paraId="1B4E8C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室内外地面或路设置防滑措施。</w:t>
            </w:r>
          </w:p>
        </w:tc>
        <w:tc>
          <w:tcPr>
            <w:tcW w:w="958" w:type="pct"/>
            <w:shd w:val="clear" w:color="auto" w:fill="auto"/>
            <w:vAlign w:val="center"/>
          </w:tcPr>
          <w:p w14:paraId="4A87DF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1建筑出入口及平台、公共走廊、电梯门厅、厨房、浴室、卫生间等设置 防滑措施，防滑等级不低于现行行业标准《建筑地面工程防滑技术规程》JGJ/T 331规定的Bd、Bw级，得3分；</w:t>
            </w:r>
          </w:p>
        </w:tc>
        <w:tc>
          <w:tcPr>
            <w:tcW w:w="328" w:type="pct"/>
            <w:shd w:val="clear" w:color="auto" w:fill="auto"/>
            <w:vAlign w:val="center"/>
          </w:tcPr>
          <w:p w14:paraId="758710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建筑、成本</w:t>
            </w:r>
          </w:p>
        </w:tc>
        <w:tc>
          <w:tcPr>
            <w:tcW w:w="310" w:type="pct"/>
            <w:vMerge w:val="restart"/>
            <w:shd w:val="clear" w:color="auto" w:fill="auto"/>
            <w:vAlign w:val="center"/>
          </w:tcPr>
          <w:p w14:paraId="6727F1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 w:type="pct"/>
            <w:shd w:val="clear" w:color="auto" w:fill="auto"/>
            <w:vAlign w:val="center"/>
          </w:tcPr>
          <w:p w14:paraId="447B0B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2BFACEF3">
            <w:pPr>
              <w:rPr>
                <w:rFonts w:hint="eastAsia" w:ascii="等线" w:hAnsi="等线" w:eastAsia="等线" w:cs="等线"/>
                <w:i w:val="0"/>
                <w:iCs w:val="0"/>
                <w:color w:val="000000"/>
                <w:sz w:val="21"/>
                <w:szCs w:val="21"/>
                <w:u w:val="none"/>
              </w:rPr>
            </w:pPr>
          </w:p>
        </w:tc>
      </w:tr>
      <w:tr w14:paraId="3BEC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537" w:type="pct"/>
            <w:vMerge w:val="continue"/>
            <w:shd w:val="clear" w:color="auto" w:fill="auto"/>
            <w:vAlign w:val="center"/>
          </w:tcPr>
          <w:p w14:paraId="36C46B5E">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3A12F4EF">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68487210">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0445069C">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1D6173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2建筑室内外活动场所采用防滑地面，防滑等级达到现行行业标准《建筑 地面工程防滑技术规程》JGJ/T 331规定的Ad、Aw级，得4分；</w:t>
            </w:r>
          </w:p>
        </w:tc>
        <w:tc>
          <w:tcPr>
            <w:tcW w:w="328" w:type="pct"/>
            <w:shd w:val="clear" w:color="auto" w:fill="auto"/>
            <w:vAlign w:val="center"/>
          </w:tcPr>
          <w:p w14:paraId="5331DD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建筑、成本</w:t>
            </w:r>
          </w:p>
        </w:tc>
        <w:tc>
          <w:tcPr>
            <w:tcW w:w="310" w:type="pct"/>
            <w:vMerge w:val="continue"/>
            <w:shd w:val="clear" w:color="auto" w:fill="auto"/>
            <w:vAlign w:val="center"/>
          </w:tcPr>
          <w:p w14:paraId="3296FB7F">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7226E8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2DB890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3EB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537" w:type="pct"/>
            <w:vMerge w:val="continue"/>
            <w:shd w:val="clear" w:color="auto" w:fill="auto"/>
            <w:vAlign w:val="center"/>
          </w:tcPr>
          <w:p w14:paraId="0EF2E799">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249A856C">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29CD2E7F">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279C27B9">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2250D5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3建筑坡道、楼梯踏步防滑等级达到现行行业标准《建筑地面工程防滑技 术规程》JGJ/T331规定的Ad、Aw级或按水平地面等级提高一级，并釆用防滑条 等防滑构造技术措施，得3分。</w:t>
            </w:r>
          </w:p>
        </w:tc>
        <w:tc>
          <w:tcPr>
            <w:tcW w:w="328" w:type="pct"/>
            <w:shd w:val="clear" w:color="auto" w:fill="auto"/>
            <w:vAlign w:val="center"/>
          </w:tcPr>
          <w:p w14:paraId="7F70A3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建筑、成本</w:t>
            </w:r>
          </w:p>
        </w:tc>
        <w:tc>
          <w:tcPr>
            <w:tcW w:w="310" w:type="pct"/>
            <w:vMerge w:val="continue"/>
            <w:shd w:val="clear" w:color="auto" w:fill="auto"/>
            <w:vAlign w:val="center"/>
          </w:tcPr>
          <w:p w14:paraId="444CED12">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6887BB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206032CD">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6186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7" w:type="pct"/>
            <w:shd w:val="clear" w:color="auto" w:fill="auto"/>
            <w:vAlign w:val="center"/>
          </w:tcPr>
          <w:p w14:paraId="70673D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安全耐久</w:t>
            </w:r>
          </w:p>
        </w:tc>
        <w:tc>
          <w:tcPr>
            <w:tcW w:w="292" w:type="pct"/>
            <w:shd w:val="clear" w:color="auto" w:fill="auto"/>
            <w:vAlign w:val="center"/>
          </w:tcPr>
          <w:p w14:paraId="184376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6B4205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4.2.5</w:t>
            </w:r>
          </w:p>
        </w:tc>
        <w:tc>
          <w:tcPr>
            <w:tcW w:w="1536" w:type="pct"/>
            <w:gridSpan w:val="3"/>
            <w:shd w:val="clear" w:color="auto" w:fill="auto"/>
            <w:vAlign w:val="center"/>
          </w:tcPr>
          <w:p w14:paraId="6639E0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采取人车分流措施，且步行和自交通系统有充足照明。</w:t>
            </w:r>
          </w:p>
        </w:tc>
        <w:tc>
          <w:tcPr>
            <w:tcW w:w="328" w:type="pct"/>
            <w:shd w:val="clear" w:color="auto" w:fill="auto"/>
            <w:vAlign w:val="center"/>
          </w:tcPr>
          <w:p w14:paraId="7E3CAA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176B02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46" w:type="pct"/>
            <w:shd w:val="clear" w:color="auto" w:fill="auto"/>
            <w:vAlign w:val="center"/>
          </w:tcPr>
          <w:p w14:paraId="1C98B3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1638C64A">
            <w:pPr>
              <w:jc w:val="center"/>
              <w:rPr>
                <w:rFonts w:hint="eastAsia" w:ascii="宋体" w:hAnsi="宋体" w:eastAsia="宋体" w:cs="宋体"/>
                <w:i w:val="0"/>
                <w:iCs w:val="0"/>
                <w:color w:val="000000"/>
                <w:sz w:val="21"/>
                <w:szCs w:val="21"/>
                <w:u w:val="none"/>
              </w:rPr>
            </w:pPr>
          </w:p>
        </w:tc>
      </w:tr>
      <w:tr w14:paraId="3EF0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37" w:type="pct"/>
            <w:vMerge w:val="restart"/>
            <w:shd w:val="clear" w:color="auto" w:fill="auto"/>
            <w:vAlign w:val="center"/>
          </w:tcPr>
          <w:p w14:paraId="44C5B7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安全耐久</w:t>
            </w:r>
          </w:p>
        </w:tc>
        <w:tc>
          <w:tcPr>
            <w:tcW w:w="292" w:type="pct"/>
            <w:vMerge w:val="restart"/>
            <w:shd w:val="clear" w:color="auto" w:fill="auto"/>
            <w:vAlign w:val="center"/>
          </w:tcPr>
          <w:p w14:paraId="154E1F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2AC89E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4.2.6</w:t>
            </w:r>
          </w:p>
        </w:tc>
        <w:tc>
          <w:tcPr>
            <w:tcW w:w="578" w:type="pct"/>
            <w:gridSpan w:val="2"/>
            <w:vMerge w:val="restart"/>
            <w:shd w:val="clear" w:color="auto" w:fill="auto"/>
            <w:vAlign w:val="center"/>
          </w:tcPr>
          <w:p w14:paraId="2C4D4E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采取提升建筑适变性的措施。</w:t>
            </w:r>
          </w:p>
        </w:tc>
        <w:tc>
          <w:tcPr>
            <w:tcW w:w="958" w:type="pct"/>
            <w:shd w:val="clear" w:color="auto" w:fill="auto"/>
            <w:vAlign w:val="center"/>
          </w:tcPr>
          <w:p w14:paraId="417DB3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1采取通用开放、灵活可变的使用空间设计，或釆取建筑使用功能可变措施，得7分；</w:t>
            </w:r>
          </w:p>
        </w:tc>
        <w:tc>
          <w:tcPr>
            <w:tcW w:w="328" w:type="pct"/>
            <w:shd w:val="clear" w:color="auto" w:fill="auto"/>
            <w:vAlign w:val="center"/>
          </w:tcPr>
          <w:p w14:paraId="077BEA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w:t>
            </w:r>
          </w:p>
        </w:tc>
        <w:tc>
          <w:tcPr>
            <w:tcW w:w="310" w:type="pct"/>
            <w:vMerge w:val="restart"/>
            <w:shd w:val="clear" w:color="auto" w:fill="auto"/>
            <w:vAlign w:val="center"/>
          </w:tcPr>
          <w:p w14:paraId="608F10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246" w:type="pct"/>
            <w:shd w:val="clear" w:color="auto" w:fill="auto"/>
            <w:vAlign w:val="center"/>
          </w:tcPr>
          <w:p w14:paraId="400200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4B3E8586">
            <w:pPr>
              <w:rPr>
                <w:rFonts w:hint="eastAsia" w:ascii="等线" w:hAnsi="等线" w:eastAsia="等线" w:cs="等线"/>
                <w:i w:val="0"/>
                <w:iCs w:val="0"/>
                <w:color w:val="000000"/>
                <w:sz w:val="21"/>
                <w:szCs w:val="21"/>
                <w:u w:val="none"/>
              </w:rPr>
            </w:pPr>
          </w:p>
        </w:tc>
      </w:tr>
      <w:tr w14:paraId="3CFB1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37" w:type="pct"/>
            <w:vMerge w:val="continue"/>
            <w:shd w:val="clear" w:color="auto" w:fill="auto"/>
            <w:vAlign w:val="center"/>
          </w:tcPr>
          <w:p w14:paraId="7A6CCCA6">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6E3A8CDE">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1B050612">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26B6F4A7">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63E670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2建筑结构与建筑设备管线分离，得7分；</w:t>
            </w:r>
          </w:p>
        </w:tc>
        <w:tc>
          <w:tcPr>
            <w:tcW w:w="328" w:type="pct"/>
            <w:shd w:val="clear" w:color="auto" w:fill="auto"/>
            <w:vAlign w:val="center"/>
          </w:tcPr>
          <w:p w14:paraId="58C281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w:t>
            </w:r>
          </w:p>
        </w:tc>
        <w:tc>
          <w:tcPr>
            <w:tcW w:w="310" w:type="pct"/>
            <w:vMerge w:val="continue"/>
            <w:shd w:val="clear" w:color="auto" w:fill="auto"/>
            <w:vAlign w:val="center"/>
          </w:tcPr>
          <w:p w14:paraId="60C44414">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2EF652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21A3CCAB">
            <w:pPr>
              <w:rPr>
                <w:rFonts w:hint="eastAsia" w:ascii="等线" w:hAnsi="等线" w:eastAsia="等线" w:cs="等线"/>
                <w:i w:val="0"/>
                <w:iCs w:val="0"/>
                <w:color w:val="000000"/>
                <w:sz w:val="21"/>
                <w:szCs w:val="21"/>
                <w:u w:val="none"/>
              </w:rPr>
            </w:pPr>
          </w:p>
        </w:tc>
      </w:tr>
      <w:tr w14:paraId="54D6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537" w:type="pct"/>
            <w:vMerge w:val="continue"/>
            <w:shd w:val="clear" w:color="auto" w:fill="auto"/>
            <w:vAlign w:val="center"/>
          </w:tcPr>
          <w:p w14:paraId="38002C20">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10C9953F">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1B97ADD0">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65A34847">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05AD59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3釆用与建筑功能和空间变化相适应的设备设施布置方式或控制方式，得 4分。</w:t>
            </w:r>
          </w:p>
        </w:tc>
        <w:tc>
          <w:tcPr>
            <w:tcW w:w="328" w:type="pct"/>
            <w:shd w:val="clear" w:color="auto" w:fill="auto"/>
            <w:vAlign w:val="center"/>
          </w:tcPr>
          <w:p w14:paraId="61589D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w:t>
            </w:r>
          </w:p>
        </w:tc>
        <w:tc>
          <w:tcPr>
            <w:tcW w:w="310" w:type="pct"/>
            <w:vMerge w:val="continue"/>
            <w:shd w:val="clear" w:color="auto" w:fill="auto"/>
            <w:vAlign w:val="center"/>
          </w:tcPr>
          <w:p w14:paraId="63290E20">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03FDEB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0F9C0B88">
            <w:pPr>
              <w:rPr>
                <w:rFonts w:hint="eastAsia" w:ascii="等线" w:hAnsi="等线" w:eastAsia="等线" w:cs="等线"/>
                <w:i w:val="0"/>
                <w:iCs w:val="0"/>
                <w:color w:val="000000"/>
                <w:sz w:val="21"/>
                <w:szCs w:val="21"/>
                <w:u w:val="none"/>
              </w:rPr>
            </w:pPr>
          </w:p>
        </w:tc>
      </w:tr>
      <w:tr w14:paraId="423C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537" w:type="pct"/>
            <w:vMerge w:val="restart"/>
            <w:shd w:val="clear" w:color="auto" w:fill="auto"/>
            <w:vAlign w:val="center"/>
          </w:tcPr>
          <w:p w14:paraId="294DF7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安全耐久</w:t>
            </w:r>
          </w:p>
        </w:tc>
        <w:tc>
          <w:tcPr>
            <w:tcW w:w="292" w:type="pct"/>
            <w:vMerge w:val="restart"/>
            <w:shd w:val="clear" w:color="auto" w:fill="auto"/>
            <w:vAlign w:val="center"/>
          </w:tcPr>
          <w:p w14:paraId="4F0C3A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169F0B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4.2.7</w:t>
            </w:r>
          </w:p>
        </w:tc>
        <w:tc>
          <w:tcPr>
            <w:tcW w:w="578" w:type="pct"/>
            <w:gridSpan w:val="2"/>
            <w:vMerge w:val="restart"/>
            <w:shd w:val="clear" w:color="auto" w:fill="auto"/>
            <w:vAlign w:val="center"/>
          </w:tcPr>
          <w:p w14:paraId="7BF22F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采取提升建筑部品部件耐久性的措施。</w:t>
            </w:r>
          </w:p>
        </w:tc>
        <w:tc>
          <w:tcPr>
            <w:tcW w:w="958" w:type="pct"/>
            <w:shd w:val="clear" w:color="auto" w:fill="auto"/>
            <w:vAlign w:val="center"/>
          </w:tcPr>
          <w:p w14:paraId="53A94F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1使用耐腐蚀、抗老化、耐久性能好的管材、管线、管件，得5分；</w:t>
            </w:r>
          </w:p>
        </w:tc>
        <w:tc>
          <w:tcPr>
            <w:tcW w:w="328" w:type="pct"/>
            <w:shd w:val="clear" w:color="auto" w:fill="auto"/>
            <w:vAlign w:val="center"/>
          </w:tcPr>
          <w:p w14:paraId="7D4F71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给排水、电气、暖通</w:t>
            </w:r>
          </w:p>
        </w:tc>
        <w:tc>
          <w:tcPr>
            <w:tcW w:w="310" w:type="pct"/>
            <w:vMerge w:val="restart"/>
            <w:shd w:val="clear" w:color="auto" w:fill="auto"/>
            <w:vAlign w:val="center"/>
          </w:tcPr>
          <w:p w14:paraId="6BF561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 w:type="pct"/>
            <w:shd w:val="clear" w:color="auto" w:fill="auto"/>
            <w:vAlign w:val="center"/>
          </w:tcPr>
          <w:p w14:paraId="65BD30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2F1833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3E0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537" w:type="pct"/>
            <w:vMerge w:val="continue"/>
            <w:shd w:val="clear" w:color="auto" w:fill="auto"/>
            <w:vAlign w:val="center"/>
          </w:tcPr>
          <w:p w14:paraId="035DC4AE">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79A1B2F7">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062F8DD7">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4F7D3323">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323CDD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2活动配件选用长寿命产品，并考虑部品组合的同寿命性；不同使用寿命 的部品组合时，采用便于分别拆换、更新和升级的构造，得5分。</w:t>
            </w:r>
          </w:p>
        </w:tc>
        <w:tc>
          <w:tcPr>
            <w:tcW w:w="328" w:type="pct"/>
            <w:shd w:val="clear" w:color="auto" w:fill="auto"/>
            <w:vAlign w:val="center"/>
          </w:tcPr>
          <w:p w14:paraId="4FA2D5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电气、给排水</w:t>
            </w:r>
          </w:p>
        </w:tc>
        <w:tc>
          <w:tcPr>
            <w:tcW w:w="310" w:type="pct"/>
            <w:vMerge w:val="continue"/>
            <w:shd w:val="clear" w:color="auto" w:fill="auto"/>
            <w:vAlign w:val="center"/>
          </w:tcPr>
          <w:p w14:paraId="2F415B28">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7D5B45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49C127A9">
            <w:pPr>
              <w:rPr>
                <w:rFonts w:hint="eastAsia" w:ascii="等线" w:hAnsi="等线" w:eastAsia="等线" w:cs="等线"/>
                <w:i w:val="0"/>
                <w:iCs w:val="0"/>
                <w:color w:val="000000"/>
                <w:sz w:val="21"/>
                <w:szCs w:val="21"/>
                <w:u w:val="none"/>
              </w:rPr>
            </w:pPr>
          </w:p>
        </w:tc>
      </w:tr>
      <w:tr w14:paraId="51E2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trPr>
        <w:tc>
          <w:tcPr>
            <w:tcW w:w="537" w:type="pct"/>
            <w:shd w:val="clear" w:color="auto" w:fill="auto"/>
            <w:vAlign w:val="center"/>
          </w:tcPr>
          <w:p w14:paraId="78E251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安全耐久</w:t>
            </w:r>
          </w:p>
        </w:tc>
        <w:tc>
          <w:tcPr>
            <w:tcW w:w="292" w:type="pct"/>
            <w:shd w:val="clear" w:color="auto" w:fill="auto"/>
            <w:vAlign w:val="center"/>
          </w:tcPr>
          <w:p w14:paraId="39FDE8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5825FB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4.2.8</w:t>
            </w:r>
          </w:p>
        </w:tc>
        <w:tc>
          <w:tcPr>
            <w:tcW w:w="578" w:type="pct"/>
            <w:gridSpan w:val="2"/>
            <w:shd w:val="clear" w:color="auto" w:fill="auto"/>
            <w:vAlign w:val="center"/>
          </w:tcPr>
          <w:p w14:paraId="3FA804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提高建筑结构材料的耐久性。</w:t>
            </w:r>
          </w:p>
        </w:tc>
        <w:tc>
          <w:tcPr>
            <w:tcW w:w="958" w:type="pct"/>
            <w:shd w:val="clear" w:color="auto" w:fill="auto"/>
            <w:vAlign w:val="center"/>
          </w:tcPr>
          <w:p w14:paraId="1B5528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1按100年进行耐久性设计，得10分。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2釆用耐久性能好的建筑结构材料，满足下列条件之一，得10分：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对于混凝土构件，提高钢筋保护层厚度或釆用高耐久混凝土；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对于钢构件，采用耐候结构钢或耐候型防腐涂料；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对于木构件，釆用防腐木材、耐久木材或耐久木制品。</w:t>
            </w:r>
          </w:p>
        </w:tc>
        <w:tc>
          <w:tcPr>
            <w:tcW w:w="328" w:type="pct"/>
            <w:shd w:val="clear" w:color="auto" w:fill="auto"/>
            <w:vAlign w:val="center"/>
          </w:tcPr>
          <w:p w14:paraId="3D42B9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w:t>
            </w:r>
          </w:p>
        </w:tc>
        <w:tc>
          <w:tcPr>
            <w:tcW w:w="310" w:type="pct"/>
            <w:shd w:val="clear" w:color="auto" w:fill="auto"/>
            <w:vAlign w:val="center"/>
          </w:tcPr>
          <w:p w14:paraId="23DE34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 w:type="pct"/>
            <w:shd w:val="clear" w:color="auto" w:fill="auto"/>
            <w:vAlign w:val="center"/>
          </w:tcPr>
          <w:p w14:paraId="433A50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246B7E30">
            <w:pPr>
              <w:rPr>
                <w:rFonts w:hint="eastAsia" w:ascii="等线" w:hAnsi="等线" w:eastAsia="等线" w:cs="等线"/>
                <w:i w:val="0"/>
                <w:iCs w:val="0"/>
                <w:color w:val="000000"/>
                <w:sz w:val="21"/>
                <w:szCs w:val="21"/>
                <w:u w:val="none"/>
              </w:rPr>
            </w:pPr>
          </w:p>
        </w:tc>
      </w:tr>
      <w:tr w14:paraId="30CA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37" w:type="pct"/>
            <w:vMerge w:val="restart"/>
            <w:shd w:val="clear" w:color="auto" w:fill="auto"/>
            <w:vAlign w:val="center"/>
          </w:tcPr>
          <w:p w14:paraId="3A532C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安全耐久</w:t>
            </w:r>
          </w:p>
        </w:tc>
        <w:tc>
          <w:tcPr>
            <w:tcW w:w="292" w:type="pct"/>
            <w:vMerge w:val="restart"/>
            <w:shd w:val="clear" w:color="auto" w:fill="auto"/>
            <w:vAlign w:val="center"/>
          </w:tcPr>
          <w:p w14:paraId="34EFD2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0D0996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4.2.9</w:t>
            </w:r>
          </w:p>
        </w:tc>
        <w:tc>
          <w:tcPr>
            <w:tcW w:w="578" w:type="pct"/>
            <w:gridSpan w:val="2"/>
            <w:vMerge w:val="restart"/>
            <w:shd w:val="clear" w:color="auto" w:fill="auto"/>
            <w:vAlign w:val="center"/>
          </w:tcPr>
          <w:p w14:paraId="7B8921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合理采用耐久性好、易维护的装饰修建筑材料。</w:t>
            </w:r>
          </w:p>
        </w:tc>
        <w:tc>
          <w:tcPr>
            <w:tcW w:w="958" w:type="pct"/>
            <w:shd w:val="clear" w:color="auto" w:fill="auto"/>
            <w:vAlign w:val="center"/>
          </w:tcPr>
          <w:p w14:paraId="62D481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1采用耐久性好的外饰面材料，得3分；</w:t>
            </w:r>
          </w:p>
        </w:tc>
        <w:tc>
          <w:tcPr>
            <w:tcW w:w="328" w:type="pct"/>
            <w:shd w:val="clear" w:color="auto" w:fill="auto"/>
            <w:vAlign w:val="center"/>
          </w:tcPr>
          <w:p w14:paraId="16B8F6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建筑、装修、成本</w:t>
            </w:r>
          </w:p>
        </w:tc>
        <w:tc>
          <w:tcPr>
            <w:tcW w:w="310" w:type="pct"/>
            <w:vMerge w:val="restart"/>
            <w:shd w:val="clear" w:color="auto" w:fill="auto"/>
            <w:vAlign w:val="center"/>
          </w:tcPr>
          <w:p w14:paraId="5A1853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46" w:type="pct"/>
            <w:shd w:val="clear" w:color="auto" w:fill="auto"/>
            <w:vAlign w:val="center"/>
          </w:tcPr>
          <w:p w14:paraId="548DCF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3C0D93DB">
            <w:pPr>
              <w:rPr>
                <w:rFonts w:hint="eastAsia" w:ascii="宋体" w:hAnsi="宋体" w:eastAsia="宋体" w:cs="宋体"/>
                <w:i w:val="0"/>
                <w:iCs w:val="0"/>
                <w:color w:val="000000"/>
                <w:sz w:val="21"/>
                <w:szCs w:val="21"/>
                <w:u w:val="none"/>
              </w:rPr>
            </w:pPr>
          </w:p>
        </w:tc>
      </w:tr>
      <w:tr w14:paraId="410E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537" w:type="pct"/>
            <w:vMerge w:val="continue"/>
            <w:shd w:val="clear" w:color="auto" w:fill="auto"/>
            <w:vAlign w:val="center"/>
          </w:tcPr>
          <w:p w14:paraId="157AFDFD">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3A0C021E">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20A731BA">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40BC48B3">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0DDCA8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2釆用耐久性好的防水和密封材料，得3分；</w:t>
            </w:r>
          </w:p>
        </w:tc>
        <w:tc>
          <w:tcPr>
            <w:tcW w:w="328" w:type="pct"/>
            <w:shd w:val="clear" w:color="auto" w:fill="auto"/>
            <w:vAlign w:val="center"/>
          </w:tcPr>
          <w:p w14:paraId="2D794A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建筑、装修、成本</w:t>
            </w:r>
          </w:p>
        </w:tc>
        <w:tc>
          <w:tcPr>
            <w:tcW w:w="310" w:type="pct"/>
            <w:vMerge w:val="continue"/>
            <w:shd w:val="clear" w:color="auto" w:fill="auto"/>
            <w:vAlign w:val="center"/>
          </w:tcPr>
          <w:p w14:paraId="13914E5E">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4AD6A6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4BFF09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4F4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37" w:type="pct"/>
            <w:vMerge w:val="continue"/>
            <w:shd w:val="clear" w:color="auto" w:fill="auto"/>
            <w:vAlign w:val="center"/>
          </w:tcPr>
          <w:p w14:paraId="6B506937">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52191B9C">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588CC990">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58004A4E">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1560A5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3釆用耐久性好、易维护的室内装饰装修材料，得3分。</w:t>
            </w:r>
          </w:p>
        </w:tc>
        <w:tc>
          <w:tcPr>
            <w:tcW w:w="328" w:type="pct"/>
            <w:shd w:val="clear" w:color="auto" w:fill="auto"/>
            <w:vAlign w:val="center"/>
          </w:tcPr>
          <w:p w14:paraId="05DB83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建筑、装修、成本</w:t>
            </w:r>
          </w:p>
        </w:tc>
        <w:tc>
          <w:tcPr>
            <w:tcW w:w="310" w:type="pct"/>
            <w:vMerge w:val="continue"/>
            <w:shd w:val="clear" w:color="auto" w:fill="auto"/>
            <w:vAlign w:val="center"/>
          </w:tcPr>
          <w:p w14:paraId="15451DDC">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3A3123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07A91DD6">
            <w:pPr>
              <w:rPr>
                <w:rFonts w:hint="eastAsia" w:ascii="等线" w:hAnsi="等线" w:eastAsia="等线" w:cs="等线"/>
                <w:i w:val="0"/>
                <w:iCs w:val="0"/>
                <w:color w:val="000000"/>
                <w:sz w:val="21"/>
                <w:szCs w:val="21"/>
                <w:u w:val="none"/>
              </w:rPr>
            </w:pPr>
          </w:p>
        </w:tc>
      </w:tr>
      <w:tr w14:paraId="11B3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537" w:type="pct"/>
            <w:shd w:val="clear" w:color="auto" w:fill="auto"/>
            <w:vAlign w:val="center"/>
          </w:tcPr>
          <w:p w14:paraId="49A340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shd w:val="clear" w:color="auto" w:fill="auto"/>
            <w:vAlign w:val="center"/>
          </w:tcPr>
          <w:p w14:paraId="6B5BBF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01D768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5.1.1</w:t>
            </w:r>
          </w:p>
        </w:tc>
        <w:tc>
          <w:tcPr>
            <w:tcW w:w="1536" w:type="pct"/>
            <w:gridSpan w:val="3"/>
            <w:shd w:val="clear" w:color="auto" w:fill="auto"/>
            <w:vAlign w:val="center"/>
          </w:tcPr>
          <w:p w14:paraId="7908859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2"/>
                <w:sz w:val="21"/>
                <w:szCs w:val="21"/>
                <w:lang w:val="en-US" w:eastAsia="zh-CN" w:bidi="ar"/>
              </w:rPr>
              <w:t>室内空气中的氨、甲醛、苯、总挥发性有机物、氡等污染物浓度应符合现行国家标准《室内空气质量标准》</w:t>
            </w:r>
            <w:r>
              <w:rPr>
                <w:rStyle w:val="13"/>
                <w:rFonts w:eastAsia="宋体"/>
                <w:sz w:val="21"/>
                <w:szCs w:val="21"/>
                <w:lang w:val="en-US" w:eastAsia="zh-CN" w:bidi="ar"/>
              </w:rPr>
              <w:t>GB/T 18883</w:t>
            </w:r>
            <w:r>
              <w:rPr>
                <w:rStyle w:val="12"/>
                <w:sz w:val="21"/>
                <w:szCs w:val="21"/>
                <w:lang w:val="en-US" w:eastAsia="zh-CN" w:bidi="ar"/>
              </w:rPr>
              <w:t>的有关规定。建筑室内和建筑主出入口处应禁止吸烟，并应在醒目位置设置禁烟标志。</w:t>
            </w:r>
          </w:p>
        </w:tc>
        <w:tc>
          <w:tcPr>
            <w:tcW w:w="328" w:type="pct"/>
            <w:shd w:val="clear" w:color="auto" w:fill="auto"/>
            <w:vAlign w:val="center"/>
          </w:tcPr>
          <w:p w14:paraId="1774A7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建筑、装修、成本</w:t>
            </w:r>
          </w:p>
        </w:tc>
        <w:tc>
          <w:tcPr>
            <w:tcW w:w="310" w:type="pct"/>
            <w:shd w:val="clear" w:color="auto" w:fill="auto"/>
            <w:vAlign w:val="center"/>
          </w:tcPr>
          <w:p w14:paraId="29A6F9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6CD589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232018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68B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537" w:type="pct"/>
            <w:shd w:val="clear" w:color="auto" w:fill="auto"/>
            <w:vAlign w:val="center"/>
          </w:tcPr>
          <w:p w14:paraId="6A10EA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shd w:val="clear" w:color="auto" w:fill="auto"/>
            <w:vAlign w:val="center"/>
          </w:tcPr>
          <w:p w14:paraId="79C03D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5669AF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5.1.2</w:t>
            </w:r>
          </w:p>
        </w:tc>
        <w:tc>
          <w:tcPr>
            <w:tcW w:w="1536" w:type="pct"/>
            <w:gridSpan w:val="3"/>
            <w:shd w:val="clear" w:color="auto" w:fill="auto"/>
            <w:vAlign w:val="center"/>
          </w:tcPr>
          <w:p w14:paraId="6733F9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应采取措施避免厨房、餐厅、打印复印室、卫生间、地下车库等区域的空气和污染物串通到其他空间；应防止厨房、卫生间的排气倒灌。</w:t>
            </w:r>
          </w:p>
        </w:tc>
        <w:tc>
          <w:tcPr>
            <w:tcW w:w="328" w:type="pct"/>
            <w:shd w:val="clear" w:color="auto" w:fill="auto"/>
            <w:vAlign w:val="center"/>
          </w:tcPr>
          <w:p w14:paraId="32C525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暖通</w:t>
            </w:r>
          </w:p>
        </w:tc>
        <w:tc>
          <w:tcPr>
            <w:tcW w:w="310" w:type="pct"/>
            <w:shd w:val="clear" w:color="auto" w:fill="auto"/>
            <w:vAlign w:val="center"/>
          </w:tcPr>
          <w:p w14:paraId="0AD12F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4D7A76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42B31F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749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trPr>
        <w:tc>
          <w:tcPr>
            <w:tcW w:w="537" w:type="pct"/>
            <w:shd w:val="clear" w:color="auto" w:fill="auto"/>
            <w:vAlign w:val="center"/>
          </w:tcPr>
          <w:p w14:paraId="6D3C33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shd w:val="clear" w:color="auto" w:fill="auto"/>
            <w:vAlign w:val="center"/>
          </w:tcPr>
          <w:p w14:paraId="78A64C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191F95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w:t>
            </w:r>
          </w:p>
        </w:tc>
        <w:tc>
          <w:tcPr>
            <w:tcW w:w="1536" w:type="pct"/>
            <w:gridSpan w:val="3"/>
            <w:shd w:val="clear" w:color="auto" w:fill="auto"/>
            <w:vAlign w:val="center"/>
          </w:tcPr>
          <w:p w14:paraId="386F8B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2"/>
                <w:sz w:val="21"/>
                <w:szCs w:val="21"/>
                <w:lang w:val="en-US" w:eastAsia="zh-CN" w:bidi="ar"/>
              </w:rPr>
              <w:t>给排水系统的设置应符合下列规定：</w:t>
            </w:r>
            <w:r>
              <w:rPr>
                <w:rStyle w:val="12"/>
                <w:sz w:val="21"/>
                <w:szCs w:val="21"/>
                <w:lang w:val="en-US" w:eastAsia="zh-CN" w:bidi="ar"/>
              </w:rPr>
              <w:br w:type="textWrapping"/>
            </w:r>
            <w:r>
              <w:rPr>
                <w:rStyle w:val="13"/>
                <w:rFonts w:eastAsia="宋体"/>
                <w:sz w:val="21"/>
                <w:szCs w:val="21"/>
                <w:lang w:val="en-US" w:eastAsia="zh-CN" w:bidi="ar"/>
              </w:rPr>
              <w:t>1</w:t>
            </w:r>
            <w:r>
              <w:rPr>
                <w:rStyle w:val="12"/>
                <w:sz w:val="21"/>
                <w:szCs w:val="21"/>
                <w:lang w:val="en-US" w:eastAsia="zh-CN" w:bidi="ar"/>
              </w:rPr>
              <w:t>生活饮用水水质应满足现行国家标准《生活饮用水卫生标准》</w:t>
            </w:r>
            <w:r>
              <w:rPr>
                <w:rStyle w:val="13"/>
                <w:rFonts w:eastAsia="宋体"/>
                <w:sz w:val="21"/>
                <w:szCs w:val="21"/>
                <w:lang w:val="en-US" w:eastAsia="zh-CN" w:bidi="ar"/>
              </w:rPr>
              <w:t>GB5749</w:t>
            </w:r>
            <w:r>
              <w:rPr>
                <w:rStyle w:val="12"/>
                <w:sz w:val="21"/>
                <w:szCs w:val="21"/>
                <w:lang w:val="en-US" w:eastAsia="zh-CN" w:bidi="ar"/>
              </w:rPr>
              <w:t>的要求；</w:t>
            </w:r>
            <w:r>
              <w:rPr>
                <w:rStyle w:val="12"/>
                <w:sz w:val="21"/>
                <w:szCs w:val="21"/>
                <w:lang w:val="en-US" w:eastAsia="zh-CN" w:bidi="ar"/>
              </w:rPr>
              <w:br w:type="textWrapping"/>
            </w:r>
            <w:r>
              <w:rPr>
                <w:rStyle w:val="13"/>
                <w:rFonts w:eastAsia="宋体"/>
                <w:sz w:val="21"/>
                <w:szCs w:val="21"/>
                <w:lang w:val="en-US" w:eastAsia="zh-CN" w:bidi="ar"/>
              </w:rPr>
              <w:t>2</w:t>
            </w:r>
            <w:r>
              <w:rPr>
                <w:rStyle w:val="12"/>
                <w:sz w:val="21"/>
                <w:szCs w:val="21"/>
                <w:lang w:val="en-US" w:eastAsia="zh-CN" w:bidi="ar"/>
              </w:rPr>
              <w:t>应制定水池、水箱等储水设施定期清洗消毒计划并实施，且生活饮用水储水设施每半年清洗消毒应不少于</w:t>
            </w:r>
            <w:r>
              <w:rPr>
                <w:rStyle w:val="13"/>
                <w:rFonts w:eastAsia="宋体"/>
                <w:sz w:val="21"/>
                <w:szCs w:val="21"/>
                <w:lang w:val="en-US" w:eastAsia="zh-CN" w:bidi="ar"/>
              </w:rPr>
              <w:t>1</w:t>
            </w:r>
            <w:r>
              <w:rPr>
                <w:rStyle w:val="12"/>
                <w:sz w:val="21"/>
                <w:szCs w:val="21"/>
                <w:lang w:val="en-US" w:eastAsia="zh-CN" w:bidi="ar"/>
              </w:rPr>
              <w:t>次；</w:t>
            </w:r>
            <w:r>
              <w:rPr>
                <w:rStyle w:val="12"/>
                <w:sz w:val="21"/>
                <w:szCs w:val="21"/>
                <w:lang w:val="en-US" w:eastAsia="zh-CN" w:bidi="ar"/>
              </w:rPr>
              <w:br w:type="textWrapping"/>
            </w:r>
            <w:r>
              <w:rPr>
                <w:rStyle w:val="13"/>
                <w:rFonts w:eastAsia="宋体"/>
                <w:sz w:val="21"/>
                <w:szCs w:val="21"/>
                <w:lang w:val="en-US" w:eastAsia="zh-CN" w:bidi="ar"/>
              </w:rPr>
              <w:t>3</w:t>
            </w:r>
            <w:r>
              <w:rPr>
                <w:rStyle w:val="12"/>
                <w:sz w:val="21"/>
                <w:szCs w:val="21"/>
                <w:lang w:val="en-US" w:eastAsia="zh-CN" w:bidi="ar"/>
              </w:rPr>
              <w:t>应使用构造内自带水封的便器，且其水封深度应不小于</w:t>
            </w:r>
            <w:r>
              <w:rPr>
                <w:rStyle w:val="13"/>
                <w:rFonts w:eastAsia="宋体"/>
                <w:sz w:val="21"/>
                <w:szCs w:val="21"/>
                <w:lang w:val="en-US" w:eastAsia="zh-CN" w:bidi="ar"/>
              </w:rPr>
              <w:t>50mm</w:t>
            </w:r>
            <w:r>
              <w:rPr>
                <w:rStyle w:val="12"/>
                <w:sz w:val="21"/>
                <w:szCs w:val="21"/>
                <w:lang w:val="en-US" w:eastAsia="zh-CN" w:bidi="ar"/>
              </w:rPr>
              <w:t>；</w:t>
            </w:r>
            <w:r>
              <w:rPr>
                <w:rStyle w:val="12"/>
                <w:sz w:val="21"/>
                <w:szCs w:val="21"/>
                <w:lang w:val="en-US" w:eastAsia="zh-CN" w:bidi="ar"/>
              </w:rPr>
              <w:br w:type="textWrapping"/>
            </w:r>
            <w:r>
              <w:rPr>
                <w:rStyle w:val="13"/>
                <w:rFonts w:eastAsia="宋体"/>
                <w:sz w:val="21"/>
                <w:szCs w:val="21"/>
                <w:lang w:val="en-US" w:eastAsia="zh-CN" w:bidi="ar"/>
              </w:rPr>
              <w:t>4</w:t>
            </w:r>
            <w:r>
              <w:rPr>
                <w:rStyle w:val="12"/>
                <w:sz w:val="21"/>
                <w:szCs w:val="21"/>
                <w:lang w:val="en-US" w:eastAsia="zh-CN" w:bidi="ar"/>
              </w:rPr>
              <w:t>非传统水源管道和设备应设置明确、清晰的永久性标识。</w:t>
            </w:r>
          </w:p>
        </w:tc>
        <w:tc>
          <w:tcPr>
            <w:tcW w:w="328" w:type="pct"/>
            <w:shd w:val="clear" w:color="auto" w:fill="auto"/>
            <w:vAlign w:val="center"/>
          </w:tcPr>
          <w:p w14:paraId="5825FE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w:t>
            </w:r>
          </w:p>
        </w:tc>
        <w:tc>
          <w:tcPr>
            <w:tcW w:w="310" w:type="pct"/>
            <w:shd w:val="clear" w:color="auto" w:fill="auto"/>
            <w:vAlign w:val="center"/>
          </w:tcPr>
          <w:p w14:paraId="3A12CA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76B1B9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72ACAEF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DE0D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537" w:type="pct"/>
            <w:vMerge w:val="restart"/>
            <w:shd w:val="clear" w:color="auto" w:fill="auto"/>
            <w:vAlign w:val="center"/>
          </w:tcPr>
          <w:p w14:paraId="732112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vMerge w:val="restart"/>
            <w:shd w:val="clear" w:color="auto" w:fill="auto"/>
            <w:vAlign w:val="center"/>
          </w:tcPr>
          <w:p w14:paraId="5B42ED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vMerge w:val="restart"/>
            <w:shd w:val="clear" w:color="auto" w:fill="auto"/>
            <w:vAlign w:val="center"/>
          </w:tcPr>
          <w:p w14:paraId="484739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5.1.4</w:t>
            </w:r>
          </w:p>
        </w:tc>
        <w:tc>
          <w:tcPr>
            <w:tcW w:w="328" w:type="pct"/>
            <w:vMerge w:val="restart"/>
            <w:shd w:val="clear" w:color="auto" w:fill="auto"/>
            <w:vAlign w:val="center"/>
          </w:tcPr>
          <w:p w14:paraId="3C9BD4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建筑声环境设计应符合下列规定</w:t>
            </w:r>
          </w:p>
        </w:tc>
        <w:tc>
          <w:tcPr>
            <w:tcW w:w="1208" w:type="pct"/>
            <w:gridSpan w:val="2"/>
            <w:shd w:val="clear" w:color="auto" w:fill="auto"/>
            <w:vAlign w:val="center"/>
          </w:tcPr>
          <w:p w14:paraId="627A55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场地规划布局和建筑平面设计时应合理规划噪声源区域和噪声敏感区域，并应进行识别和标注；</w:t>
            </w:r>
          </w:p>
        </w:tc>
        <w:tc>
          <w:tcPr>
            <w:tcW w:w="328" w:type="pct"/>
            <w:shd w:val="clear" w:color="auto" w:fill="auto"/>
            <w:vAlign w:val="center"/>
          </w:tcPr>
          <w:p w14:paraId="1133DF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3ED56E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32225E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26144EE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A93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537" w:type="pct"/>
            <w:vMerge w:val="continue"/>
            <w:shd w:val="clear" w:color="auto" w:fill="auto"/>
            <w:vAlign w:val="center"/>
          </w:tcPr>
          <w:p w14:paraId="0962811A">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75B3C185">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0D700BCA">
            <w:pPr>
              <w:jc w:val="center"/>
              <w:rPr>
                <w:rFonts w:hint="eastAsia" w:ascii="宋体" w:hAnsi="宋体" w:eastAsia="宋体" w:cs="宋体"/>
                <w:i w:val="0"/>
                <w:iCs w:val="0"/>
                <w:color w:val="000000"/>
                <w:sz w:val="21"/>
                <w:szCs w:val="21"/>
                <w:u w:val="none"/>
              </w:rPr>
            </w:pPr>
          </w:p>
        </w:tc>
        <w:tc>
          <w:tcPr>
            <w:tcW w:w="328" w:type="pct"/>
            <w:vMerge w:val="continue"/>
            <w:shd w:val="clear" w:color="auto" w:fill="auto"/>
            <w:vAlign w:val="center"/>
          </w:tcPr>
          <w:p w14:paraId="4A8B8936">
            <w:pPr>
              <w:jc w:val="center"/>
              <w:rPr>
                <w:rFonts w:hint="eastAsia" w:ascii="宋体" w:hAnsi="宋体" w:eastAsia="宋体" w:cs="宋体"/>
                <w:i w:val="0"/>
                <w:iCs w:val="0"/>
                <w:color w:val="000000"/>
                <w:sz w:val="21"/>
                <w:szCs w:val="21"/>
                <w:u w:val="none"/>
              </w:rPr>
            </w:pPr>
          </w:p>
        </w:tc>
        <w:tc>
          <w:tcPr>
            <w:tcW w:w="1208" w:type="pct"/>
            <w:gridSpan w:val="2"/>
            <w:shd w:val="clear" w:color="auto" w:fill="auto"/>
            <w:vAlign w:val="center"/>
          </w:tcPr>
          <w:p w14:paraId="2B37CA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 外墙、隔墙、楼板和门窗等主要建筑构件的隔声性能指标不应低于现行国家标准《民用建筑隔声设计规范》GB 50118的规定，并应根据隔声性能指标明确主要建筑构件的构造做法。</w:t>
            </w:r>
          </w:p>
        </w:tc>
        <w:tc>
          <w:tcPr>
            <w:tcW w:w="328" w:type="pct"/>
            <w:shd w:val="clear" w:color="auto" w:fill="auto"/>
            <w:vAlign w:val="center"/>
          </w:tcPr>
          <w:p w14:paraId="443BD3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物理</w:t>
            </w:r>
          </w:p>
        </w:tc>
        <w:tc>
          <w:tcPr>
            <w:tcW w:w="310" w:type="pct"/>
            <w:shd w:val="clear" w:color="auto" w:fill="auto"/>
            <w:vAlign w:val="center"/>
          </w:tcPr>
          <w:p w14:paraId="4E41C8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6EAE39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0D1AED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5B74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0" w:hRule="atLeast"/>
        </w:trPr>
        <w:tc>
          <w:tcPr>
            <w:tcW w:w="537" w:type="pct"/>
            <w:vMerge w:val="restart"/>
            <w:shd w:val="clear" w:color="auto" w:fill="auto"/>
            <w:vAlign w:val="center"/>
          </w:tcPr>
          <w:p w14:paraId="175392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vMerge w:val="restart"/>
            <w:shd w:val="clear" w:color="auto" w:fill="auto"/>
            <w:vAlign w:val="center"/>
          </w:tcPr>
          <w:p w14:paraId="3D1838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vMerge w:val="restart"/>
            <w:shd w:val="clear" w:color="auto" w:fill="auto"/>
            <w:vAlign w:val="center"/>
          </w:tcPr>
          <w:p w14:paraId="73B01E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5.1.5</w:t>
            </w:r>
          </w:p>
        </w:tc>
        <w:tc>
          <w:tcPr>
            <w:tcW w:w="328" w:type="pct"/>
            <w:vMerge w:val="restart"/>
            <w:shd w:val="clear" w:color="auto" w:fill="auto"/>
            <w:vAlign w:val="center"/>
          </w:tcPr>
          <w:p w14:paraId="327D5C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建筑照明应符合下列规定</w:t>
            </w:r>
          </w:p>
        </w:tc>
        <w:tc>
          <w:tcPr>
            <w:tcW w:w="1208" w:type="pct"/>
            <w:gridSpan w:val="2"/>
            <w:shd w:val="clear" w:color="auto" w:fill="auto"/>
            <w:vAlign w:val="center"/>
          </w:tcPr>
          <w:p w14:paraId="396235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各场所的照度、照度均匀度、显色指数、统一眩光值应符合现行国家标准《建筑照明设计标准》GB/T 50034的规定；</w:t>
            </w:r>
          </w:p>
        </w:tc>
        <w:tc>
          <w:tcPr>
            <w:tcW w:w="328" w:type="pct"/>
            <w:shd w:val="clear" w:color="auto" w:fill="auto"/>
            <w:vAlign w:val="center"/>
          </w:tcPr>
          <w:p w14:paraId="60B95A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w:t>
            </w:r>
          </w:p>
        </w:tc>
        <w:tc>
          <w:tcPr>
            <w:tcW w:w="310" w:type="pct"/>
            <w:shd w:val="clear" w:color="auto" w:fill="auto"/>
            <w:vAlign w:val="center"/>
          </w:tcPr>
          <w:p w14:paraId="1D1234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284EB4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089396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A5A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537" w:type="pct"/>
            <w:vMerge w:val="continue"/>
            <w:shd w:val="clear" w:color="auto" w:fill="auto"/>
            <w:vAlign w:val="center"/>
          </w:tcPr>
          <w:p w14:paraId="17216DDC">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2734DD59">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48C2D652">
            <w:pPr>
              <w:jc w:val="center"/>
              <w:rPr>
                <w:rFonts w:hint="eastAsia" w:ascii="宋体" w:hAnsi="宋体" w:eastAsia="宋体" w:cs="宋体"/>
                <w:i w:val="0"/>
                <w:iCs w:val="0"/>
                <w:color w:val="000000"/>
                <w:sz w:val="21"/>
                <w:szCs w:val="21"/>
                <w:u w:val="none"/>
              </w:rPr>
            </w:pPr>
          </w:p>
        </w:tc>
        <w:tc>
          <w:tcPr>
            <w:tcW w:w="328" w:type="pct"/>
            <w:vMerge w:val="continue"/>
            <w:shd w:val="clear" w:color="auto" w:fill="auto"/>
            <w:vAlign w:val="center"/>
          </w:tcPr>
          <w:p w14:paraId="28FA31D1">
            <w:pPr>
              <w:jc w:val="center"/>
              <w:rPr>
                <w:rFonts w:hint="eastAsia" w:ascii="宋体" w:hAnsi="宋体" w:eastAsia="宋体" w:cs="宋体"/>
                <w:i w:val="0"/>
                <w:iCs w:val="0"/>
                <w:color w:val="000000"/>
                <w:sz w:val="21"/>
                <w:szCs w:val="21"/>
                <w:u w:val="none"/>
              </w:rPr>
            </w:pPr>
          </w:p>
        </w:tc>
        <w:tc>
          <w:tcPr>
            <w:tcW w:w="1208" w:type="pct"/>
            <w:gridSpan w:val="2"/>
            <w:shd w:val="clear" w:color="auto" w:fill="auto"/>
            <w:vAlign w:val="center"/>
          </w:tcPr>
          <w:p w14:paraId="2A764F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 人员长期停留的房间或场所采用的照明光源和灯具，其频闪效应可视度(SVM)不应大于1.3。</w:t>
            </w:r>
          </w:p>
        </w:tc>
        <w:tc>
          <w:tcPr>
            <w:tcW w:w="328" w:type="pct"/>
            <w:shd w:val="clear" w:color="auto" w:fill="auto"/>
            <w:vAlign w:val="center"/>
          </w:tcPr>
          <w:p w14:paraId="123881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w:t>
            </w:r>
          </w:p>
        </w:tc>
        <w:tc>
          <w:tcPr>
            <w:tcW w:w="310" w:type="pct"/>
            <w:shd w:val="clear" w:color="auto" w:fill="auto"/>
            <w:vAlign w:val="center"/>
          </w:tcPr>
          <w:p w14:paraId="5B5E61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3E53BC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5A344A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626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537" w:type="pct"/>
            <w:shd w:val="clear" w:color="auto" w:fill="auto"/>
            <w:vAlign w:val="center"/>
          </w:tcPr>
          <w:p w14:paraId="651028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shd w:val="clear" w:color="auto" w:fill="auto"/>
            <w:vAlign w:val="center"/>
          </w:tcPr>
          <w:p w14:paraId="705C85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237BD8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5.1.6</w:t>
            </w:r>
          </w:p>
        </w:tc>
        <w:tc>
          <w:tcPr>
            <w:tcW w:w="1536" w:type="pct"/>
            <w:gridSpan w:val="3"/>
            <w:shd w:val="clear" w:color="auto" w:fill="auto"/>
            <w:vAlign w:val="center"/>
          </w:tcPr>
          <w:p w14:paraId="70CB38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12"/>
                <w:sz w:val="21"/>
                <w:szCs w:val="21"/>
                <w:lang w:val="en-US" w:eastAsia="zh-CN" w:bidi="ar"/>
              </w:rPr>
              <w:t>应采取措施保障室内热环境。采用集中供暖空调系统的建筑，房间内的温度、湿度、新风量等设计参数应符合现行国家标准《民用建筑供暖通风与空气调节设计规范》</w:t>
            </w:r>
            <w:r>
              <w:rPr>
                <w:rStyle w:val="13"/>
                <w:rFonts w:eastAsia="宋体"/>
                <w:sz w:val="21"/>
                <w:szCs w:val="21"/>
                <w:lang w:val="en-US" w:eastAsia="zh-CN" w:bidi="ar"/>
              </w:rPr>
              <w:t>GB50736</w:t>
            </w:r>
            <w:r>
              <w:rPr>
                <w:rStyle w:val="12"/>
                <w:sz w:val="21"/>
                <w:szCs w:val="21"/>
                <w:lang w:val="en-US" w:eastAsia="zh-CN" w:bidi="ar"/>
              </w:rPr>
              <w:t>的有关规定；采用非集中供暖空调系统的建筑，应具有保障室内热的措施或预留条件。</w:t>
            </w:r>
          </w:p>
        </w:tc>
        <w:tc>
          <w:tcPr>
            <w:tcW w:w="328" w:type="pct"/>
            <w:shd w:val="clear" w:color="auto" w:fill="auto"/>
            <w:vAlign w:val="center"/>
          </w:tcPr>
          <w:p w14:paraId="1FA696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暖通</w:t>
            </w:r>
          </w:p>
        </w:tc>
        <w:tc>
          <w:tcPr>
            <w:tcW w:w="310" w:type="pct"/>
            <w:shd w:val="clear" w:color="auto" w:fill="auto"/>
            <w:vAlign w:val="center"/>
          </w:tcPr>
          <w:p w14:paraId="1F1AD2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1DC84B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212661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B35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537" w:type="pct"/>
            <w:shd w:val="clear" w:color="auto" w:fill="auto"/>
            <w:vAlign w:val="center"/>
          </w:tcPr>
          <w:p w14:paraId="0EABCD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shd w:val="clear" w:color="auto" w:fill="auto"/>
            <w:vAlign w:val="center"/>
          </w:tcPr>
          <w:p w14:paraId="4905FC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1A618F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5.1.7</w:t>
            </w:r>
          </w:p>
        </w:tc>
        <w:tc>
          <w:tcPr>
            <w:tcW w:w="1536" w:type="pct"/>
            <w:gridSpan w:val="3"/>
            <w:shd w:val="clear" w:color="auto" w:fill="auto"/>
            <w:vAlign w:val="center"/>
          </w:tcPr>
          <w:p w14:paraId="2D62BA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围护结构热工性能应符合下列规定：</w:t>
            </w:r>
            <w:r>
              <w:rPr>
                <w:rStyle w:val="13"/>
                <w:rFonts w:eastAsia="宋体"/>
                <w:sz w:val="21"/>
                <w:szCs w:val="21"/>
                <w:lang w:val="en-US" w:eastAsia="zh-CN" w:bidi="ar"/>
              </w:rPr>
              <w:t>1</w:t>
            </w:r>
            <w:r>
              <w:rPr>
                <w:rStyle w:val="12"/>
                <w:sz w:val="21"/>
                <w:szCs w:val="21"/>
                <w:lang w:val="en-US" w:eastAsia="zh-CN" w:bidi="ar"/>
              </w:rPr>
              <w:t>在室内设计温、湿度条件下，建筑非透光围护结构内表面不得结露；</w:t>
            </w:r>
            <w:r>
              <w:rPr>
                <w:rStyle w:val="13"/>
                <w:rFonts w:eastAsia="宋体"/>
                <w:sz w:val="21"/>
                <w:szCs w:val="21"/>
                <w:lang w:val="en-US" w:eastAsia="zh-CN" w:bidi="ar"/>
              </w:rPr>
              <w:t>2</w:t>
            </w:r>
            <w:r>
              <w:rPr>
                <w:rStyle w:val="12"/>
                <w:sz w:val="21"/>
                <w:szCs w:val="21"/>
                <w:lang w:val="en-US" w:eastAsia="zh-CN" w:bidi="ar"/>
              </w:rPr>
              <w:t>供暖建筑的屋面、外墙内部不应产生冷凝；</w:t>
            </w:r>
            <w:r>
              <w:rPr>
                <w:rStyle w:val="13"/>
                <w:rFonts w:eastAsia="宋体"/>
                <w:sz w:val="21"/>
                <w:szCs w:val="21"/>
                <w:lang w:val="en-US" w:eastAsia="zh-CN" w:bidi="ar"/>
              </w:rPr>
              <w:t>3</w:t>
            </w:r>
            <w:r>
              <w:rPr>
                <w:rStyle w:val="12"/>
                <w:sz w:val="21"/>
                <w:szCs w:val="21"/>
                <w:lang w:val="en-US" w:eastAsia="zh-CN" w:bidi="ar"/>
              </w:rPr>
              <w:t xml:space="preserve"> 屋顶和外墙应进行隔热性能计算，透光围护结构太阳得热系数与夏季建筑遮阳系数的乘积还应满足现行国家标准《民用建筑热工设计规范》GB50176的要求。</w:t>
            </w:r>
          </w:p>
        </w:tc>
        <w:tc>
          <w:tcPr>
            <w:tcW w:w="328" w:type="pct"/>
            <w:shd w:val="clear" w:color="auto" w:fill="auto"/>
            <w:vAlign w:val="center"/>
          </w:tcPr>
          <w:p w14:paraId="456A29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建筑、物理</w:t>
            </w:r>
          </w:p>
        </w:tc>
        <w:tc>
          <w:tcPr>
            <w:tcW w:w="310" w:type="pct"/>
            <w:shd w:val="clear" w:color="auto" w:fill="auto"/>
            <w:vAlign w:val="center"/>
          </w:tcPr>
          <w:p w14:paraId="6FE89D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089998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6363D80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7FB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537" w:type="pct"/>
            <w:shd w:val="clear" w:color="auto" w:fill="auto"/>
            <w:vAlign w:val="center"/>
          </w:tcPr>
          <w:p w14:paraId="4A1B6B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shd w:val="clear" w:color="auto" w:fill="auto"/>
            <w:vAlign w:val="center"/>
          </w:tcPr>
          <w:p w14:paraId="2A8684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746791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5.1.8</w:t>
            </w:r>
          </w:p>
        </w:tc>
        <w:tc>
          <w:tcPr>
            <w:tcW w:w="1536" w:type="pct"/>
            <w:gridSpan w:val="3"/>
            <w:shd w:val="clear" w:color="auto" w:fill="auto"/>
            <w:vAlign w:val="center"/>
          </w:tcPr>
          <w:p w14:paraId="4E5105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主要功能房间应具有现场独立控制的热环境调节装置。</w:t>
            </w:r>
          </w:p>
        </w:tc>
        <w:tc>
          <w:tcPr>
            <w:tcW w:w="328" w:type="pct"/>
            <w:shd w:val="clear" w:color="auto" w:fill="auto"/>
            <w:vAlign w:val="center"/>
          </w:tcPr>
          <w:p w14:paraId="73FF9C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暖通</w:t>
            </w:r>
          </w:p>
        </w:tc>
        <w:tc>
          <w:tcPr>
            <w:tcW w:w="310" w:type="pct"/>
            <w:shd w:val="clear" w:color="auto" w:fill="auto"/>
            <w:vAlign w:val="center"/>
          </w:tcPr>
          <w:p w14:paraId="229B1D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644041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78CD527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499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37" w:type="pct"/>
            <w:shd w:val="clear" w:color="auto" w:fill="auto"/>
            <w:vAlign w:val="center"/>
          </w:tcPr>
          <w:p w14:paraId="665276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shd w:val="clear" w:color="auto" w:fill="auto"/>
            <w:vAlign w:val="center"/>
          </w:tcPr>
          <w:p w14:paraId="7ABA31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486412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5.1.9</w:t>
            </w:r>
          </w:p>
        </w:tc>
        <w:tc>
          <w:tcPr>
            <w:tcW w:w="1536" w:type="pct"/>
            <w:gridSpan w:val="3"/>
            <w:shd w:val="clear" w:color="auto" w:fill="auto"/>
            <w:vAlign w:val="center"/>
          </w:tcPr>
          <w:p w14:paraId="428A47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地下车库应设置与排风设备联动的一氧化碳浓度监测装置</w:t>
            </w:r>
          </w:p>
        </w:tc>
        <w:tc>
          <w:tcPr>
            <w:tcW w:w="328" w:type="pct"/>
            <w:shd w:val="clear" w:color="auto" w:fill="auto"/>
            <w:vAlign w:val="center"/>
          </w:tcPr>
          <w:p w14:paraId="66CEC3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w:t>
            </w:r>
          </w:p>
        </w:tc>
        <w:tc>
          <w:tcPr>
            <w:tcW w:w="310" w:type="pct"/>
            <w:shd w:val="clear" w:color="auto" w:fill="auto"/>
            <w:vAlign w:val="center"/>
          </w:tcPr>
          <w:p w14:paraId="441EAF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39BECC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53738A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002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537" w:type="pct"/>
            <w:shd w:val="clear" w:color="auto" w:fill="auto"/>
            <w:vAlign w:val="center"/>
          </w:tcPr>
          <w:p w14:paraId="1DDD13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shd w:val="clear" w:color="auto" w:fill="auto"/>
            <w:vAlign w:val="center"/>
          </w:tcPr>
          <w:p w14:paraId="063E96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0E1B71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5.1.10</w:t>
            </w:r>
          </w:p>
        </w:tc>
        <w:tc>
          <w:tcPr>
            <w:tcW w:w="1536" w:type="pct"/>
            <w:gridSpan w:val="3"/>
            <w:shd w:val="clear" w:color="auto" w:fill="auto"/>
            <w:vAlign w:val="center"/>
          </w:tcPr>
          <w:p w14:paraId="609888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健康舒适相关技术要求应符合现行强制性工程建设规范《建筑环境通用规范》GB55016、《建筑给水排水与节水通用规范》GB 55020、《民用建筑通用规范》GB 55031等的规定。</w:t>
            </w:r>
          </w:p>
        </w:tc>
        <w:tc>
          <w:tcPr>
            <w:tcW w:w="328" w:type="pct"/>
            <w:shd w:val="clear" w:color="auto" w:fill="auto"/>
            <w:vAlign w:val="center"/>
          </w:tcPr>
          <w:p w14:paraId="22FBD0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全专业</w:t>
            </w:r>
          </w:p>
        </w:tc>
        <w:tc>
          <w:tcPr>
            <w:tcW w:w="310" w:type="pct"/>
            <w:shd w:val="clear" w:color="auto" w:fill="auto"/>
            <w:vAlign w:val="center"/>
          </w:tcPr>
          <w:p w14:paraId="7BE203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603B0A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6195F0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7C7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537" w:type="pct"/>
            <w:vMerge w:val="restart"/>
            <w:shd w:val="clear" w:color="auto" w:fill="auto"/>
            <w:vAlign w:val="center"/>
          </w:tcPr>
          <w:p w14:paraId="32C073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vMerge w:val="restart"/>
            <w:shd w:val="clear" w:color="auto" w:fill="auto"/>
            <w:vAlign w:val="center"/>
          </w:tcPr>
          <w:p w14:paraId="770514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    【第一款为二星级强制要求】</w:t>
            </w:r>
          </w:p>
        </w:tc>
        <w:tc>
          <w:tcPr>
            <w:tcW w:w="346" w:type="pct"/>
            <w:vMerge w:val="restart"/>
            <w:shd w:val="clear" w:color="auto" w:fill="auto"/>
            <w:vAlign w:val="center"/>
          </w:tcPr>
          <w:p w14:paraId="199612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5.2.1</w:t>
            </w:r>
          </w:p>
        </w:tc>
        <w:tc>
          <w:tcPr>
            <w:tcW w:w="578" w:type="pct"/>
            <w:gridSpan w:val="2"/>
            <w:vMerge w:val="restart"/>
            <w:shd w:val="clear" w:color="auto" w:fill="auto"/>
            <w:vAlign w:val="center"/>
          </w:tcPr>
          <w:p w14:paraId="185069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控制室内主要空气污染物的浓度。</w:t>
            </w:r>
          </w:p>
        </w:tc>
        <w:tc>
          <w:tcPr>
            <w:tcW w:w="958" w:type="pct"/>
            <w:shd w:val="clear" w:color="auto" w:fill="auto"/>
            <w:vAlign w:val="center"/>
          </w:tcPr>
          <w:p w14:paraId="2360EF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1氨、甲醛、苯、总挥发性有机物、氛等污染物浓度低于现行国家标准《室 内空气质量标准》GB/T 18883规定限值的10%,得3分；低于20%,得6分；</w:t>
            </w:r>
          </w:p>
        </w:tc>
        <w:tc>
          <w:tcPr>
            <w:tcW w:w="328" w:type="pct"/>
            <w:shd w:val="clear" w:color="auto" w:fill="auto"/>
            <w:vAlign w:val="center"/>
          </w:tcPr>
          <w:p w14:paraId="7A1548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建筑、装修、成本</w:t>
            </w:r>
          </w:p>
        </w:tc>
        <w:tc>
          <w:tcPr>
            <w:tcW w:w="310" w:type="pct"/>
            <w:vMerge w:val="restart"/>
            <w:shd w:val="clear" w:color="auto" w:fill="auto"/>
            <w:vAlign w:val="center"/>
          </w:tcPr>
          <w:p w14:paraId="3D0272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46" w:type="pct"/>
            <w:shd w:val="clear" w:color="auto" w:fill="auto"/>
            <w:vAlign w:val="center"/>
          </w:tcPr>
          <w:p w14:paraId="1BF938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02D086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308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537" w:type="pct"/>
            <w:vMerge w:val="continue"/>
            <w:shd w:val="clear" w:color="auto" w:fill="auto"/>
            <w:vAlign w:val="center"/>
          </w:tcPr>
          <w:p w14:paraId="219611A8">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52AE982B">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274DCD93">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4DCF94F0">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0F0957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2室内PM2.5年均浓度不高于25ug/m3,且室内PM10年均浓度不高于 50ug/m3,得 6 分。</w:t>
            </w:r>
          </w:p>
        </w:tc>
        <w:tc>
          <w:tcPr>
            <w:tcW w:w="328" w:type="pct"/>
            <w:shd w:val="clear" w:color="auto" w:fill="auto"/>
            <w:vAlign w:val="center"/>
          </w:tcPr>
          <w:p w14:paraId="74DC06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暖通、装修、成本</w:t>
            </w:r>
          </w:p>
        </w:tc>
        <w:tc>
          <w:tcPr>
            <w:tcW w:w="310" w:type="pct"/>
            <w:vMerge w:val="continue"/>
            <w:shd w:val="clear" w:color="auto" w:fill="auto"/>
            <w:vAlign w:val="center"/>
          </w:tcPr>
          <w:p w14:paraId="097682D7">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0D0F98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17CD568F">
            <w:pPr>
              <w:rPr>
                <w:rFonts w:hint="eastAsia" w:ascii="等线" w:hAnsi="等线" w:eastAsia="等线" w:cs="等线"/>
                <w:i w:val="0"/>
                <w:iCs w:val="0"/>
                <w:color w:val="000000"/>
                <w:sz w:val="21"/>
                <w:szCs w:val="21"/>
                <w:u w:val="none"/>
              </w:rPr>
            </w:pPr>
          </w:p>
        </w:tc>
      </w:tr>
      <w:tr w14:paraId="61B21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537" w:type="pct"/>
            <w:shd w:val="clear" w:color="auto" w:fill="auto"/>
            <w:vAlign w:val="center"/>
          </w:tcPr>
          <w:p w14:paraId="0E1E19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shd w:val="clear" w:color="auto" w:fill="auto"/>
            <w:vAlign w:val="center"/>
          </w:tcPr>
          <w:p w14:paraId="3BA15A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51277D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5.2.2</w:t>
            </w:r>
          </w:p>
        </w:tc>
        <w:tc>
          <w:tcPr>
            <w:tcW w:w="1536" w:type="pct"/>
            <w:gridSpan w:val="3"/>
            <w:shd w:val="clear" w:color="auto" w:fill="auto"/>
            <w:vAlign w:val="center"/>
          </w:tcPr>
          <w:p w14:paraId="40ECAE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选用的装饰装修材料满足国家现行绿色产品评价标准中对有害物质限量的要求。评价总分值为8分。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选用满足要求的装饰装修材料达到3类及以上，得 5分；达到5类及以上，得8分。</w:t>
            </w:r>
          </w:p>
        </w:tc>
        <w:tc>
          <w:tcPr>
            <w:tcW w:w="328" w:type="pct"/>
            <w:shd w:val="clear" w:color="auto" w:fill="auto"/>
            <w:vAlign w:val="center"/>
          </w:tcPr>
          <w:p w14:paraId="110493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建筑、装修、成本</w:t>
            </w:r>
          </w:p>
        </w:tc>
        <w:tc>
          <w:tcPr>
            <w:tcW w:w="310" w:type="pct"/>
            <w:shd w:val="clear" w:color="auto" w:fill="auto"/>
            <w:vAlign w:val="center"/>
          </w:tcPr>
          <w:p w14:paraId="56D726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46" w:type="pct"/>
            <w:shd w:val="clear" w:color="auto" w:fill="auto"/>
            <w:vAlign w:val="center"/>
          </w:tcPr>
          <w:p w14:paraId="302F26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7A2D7EC4">
            <w:pPr>
              <w:rPr>
                <w:rFonts w:hint="eastAsia" w:ascii="等线" w:hAnsi="等线" w:eastAsia="等线" w:cs="等线"/>
                <w:i w:val="0"/>
                <w:iCs w:val="0"/>
                <w:color w:val="000000"/>
                <w:sz w:val="21"/>
                <w:szCs w:val="21"/>
                <w:u w:val="none"/>
              </w:rPr>
            </w:pPr>
          </w:p>
        </w:tc>
      </w:tr>
      <w:tr w14:paraId="5CF4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537" w:type="pct"/>
            <w:shd w:val="clear" w:color="auto" w:fill="auto"/>
            <w:vAlign w:val="center"/>
          </w:tcPr>
          <w:p w14:paraId="379D4E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shd w:val="clear" w:color="auto" w:fill="auto"/>
            <w:vAlign w:val="center"/>
          </w:tcPr>
          <w:p w14:paraId="11ECC6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3C2DCD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5.2.3</w:t>
            </w:r>
          </w:p>
        </w:tc>
        <w:tc>
          <w:tcPr>
            <w:tcW w:w="1536" w:type="pct"/>
            <w:gridSpan w:val="3"/>
            <w:shd w:val="clear" w:color="auto" w:fill="auto"/>
            <w:vAlign w:val="center"/>
          </w:tcPr>
          <w:p w14:paraId="348DDC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直饮水、集中生活热水、游泳池水、采暖空调系统用水、景观水体等的水质满足国家现行有关标准的要求。评价分值为8分。</w:t>
            </w:r>
          </w:p>
        </w:tc>
        <w:tc>
          <w:tcPr>
            <w:tcW w:w="328" w:type="pct"/>
            <w:shd w:val="clear" w:color="auto" w:fill="auto"/>
            <w:vAlign w:val="center"/>
          </w:tcPr>
          <w:p w14:paraId="6A9943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w:t>
            </w:r>
          </w:p>
        </w:tc>
        <w:tc>
          <w:tcPr>
            <w:tcW w:w="310" w:type="pct"/>
            <w:shd w:val="clear" w:color="auto" w:fill="auto"/>
            <w:vAlign w:val="center"/>
          </w:tcPr>
          <w:p w14:paraId="2E9F7F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46" w:type="pct"/>
            <w:shd w:val="clear" w:color="auto" w:fill="auto"/>
            <w:vAlign w:val="center"/>
          </w:tcPr>
          <w:p w14:paraId="37F5DB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30ED1C5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5F8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37" w:type="pct"/>
            <w:vMerge w:val="restart"/>
            <w:shd w:val="clear" w:color="auto" w:fill="auto"/>
            <w:vAlign w:val="center"/>
          </w:tcPr>
          <w:p w14:paraId="28EB73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vMerge w:val="restart"/>
            <w:shd w:val="clear" w:color="auto" w:fill="auto"/>
            <w:vAlign w:val="center"/>
          </w:tcPr>
          <w:p w14:paraId="0A0D6B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342DC5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5.2.4</w:t>
            </w:r>
          </w:p>
        </w:tc>
        <w:tc>
          <w:tcPr>
            <w:tcW w:w="578" w:type="pct"/>
            <w:gridSpan w:val="2"/>
            <w:vMerge w:val="restart"/>
            <w:shd w:val="clear" w:color="auto" w:fill="auto"/>
            <w:vAlign w:val="center"/>
          </w:tcPr>
          <w:p w14:paraId="57B057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生活饮用水水池、水箱等储水设施采取措施满足卫生要求</w:t>
            </w:r>
          </w:p>
        </w:tc>
        <w:tc>
          <w:tcPr>
            <w:tcW w:w="958" w:type="pct"/>
            <w:shd w:val="clear" w:color="auto" w:fill="auto"/>
            <w:vAlign w:val="center"/>
          </w:tcPr>
          <w:p w14:paraId="5E597E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1使用符合国家现行有关标准要求的成品水箱，得4分；</w:t>
            </w:r>
          </w:p>
        </w:tc>
        <w:tc>
          <w:tcPr>
            <w:tcW w:w="328" w:type="pct"/>
            <w:shd w:val="clear" w:color="auto" w:fill="auto"/>
            <w:vAlign w:val="center"/>
          </w:tcPr>
          <w:p w14:paraId="5D76F5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w:t>
            </w:r>
          </w:p>
        </w:tc>
        <w:tc>
          <w:tcPr>
            <w:tcW w:w="310" w:type="pct"/>
            <w:vMerge w:val="restart"/>
            <w:shd w:val="clear" w:color="auto" w:fill="auto"/>
            <w:vAlign w:val="center"/>
          </w:tcPr>
          <w:p w14:paraId="7220EB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46" w:type="pct"/>
            <w:shd w:val="clear" w:color="auto" w:fill="auto"/>
            <w:vAlign w:val="center"/>
          </w:tcPr>
          <w:p w14:paraId="6A4613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005917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55C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37" w:type="pct"/>
            <w:vMerge w:val="continue"/>
            <w:shd w:val="clear" w:color="auto" w:fill="auto"/>
            <w:vAlign w:val="center"/>
          </w:tcPr>
          <w:p w14:paraId="0FDD31D2">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3DB46528">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3171A577">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02D1D397">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049717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2采取保证储水不变质的措施，得5分。</w:t>
            </w:r>
          </w:p>
        </w:tc>
        <w:tc>
          <w:tcPr>
            <w:tcW w:w="328" w:type="pct"/>
            <w:shd w:val="clear" w:color="auto" w:fill="auto"/>
            <w:vAlign w:val="center"/>
          </w:tcPr>
          <w:p w14:paraId="6EA47A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w:t>
            </w:r>
          </w:p>
        </w:tc>
        <w:tc>
          <w:tcPr>
            <w:tcW w:w="310" w:type="pct"/>
            <w:vMerge w:val="continue"/>
            <w:shd w:val="clear" w:color="auto" w:fill="auto"/>
            <w:vAlign w:val="center"/>
          </w:tcPr>
          <w:p w14:paraId="4A85D7FD">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403086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0109B2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1E5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537" w:type="pct"/>
            <w:shd w:val="clear" w:color="auto" w:fill="auto"/>
            <w:vAlign w:val="center"/>
          </w:tcPr>
          <w:p w14:paraId="52C5DF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shd w:val="clear" w:color="auto" w:fill="auto"/>
            <w:vAlign w:val="center"/>
          </w:tcPr>
          <w:p w14:paraId="7595A2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1B3965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5.2.5</w:t>
            </w:r>
          </w:p>
        </w:tc>
        <w:tc>
          <w:tcPr>
            <w:tcW w:w="1536" w:type="pct"/>
            <w:gridSpan w:val="3"/>
            <w:shd w:val="clear" w:color="auto" w:fill="auto"/>
            <w:vAlign w:val="center"/>
          </w:tcPr>
          <w:p w14:paraId="02BB3F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所有给排水管道、设备、设施设置明确、清晰的永久性标识。评价分值 为8分。</w:t>
            </w:r>
          </w:p>
        </w:tc>
        <w:tc>
          <w:tcPr>
            <w:tcW w:w="328" w:type="pct"/>
            <w:shd w:val="clear" w:color="auto" w:fill="auto"/>
            <w:vAlign w:val="center"/>
          </w:tcPr>
          <w:p w14:paraId="440AAC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w:t>
            </w:r>
          </w:p>
        </w:tc>
        <w:tc>
          <w:tcPr>
            <w:tcW w:w="310" w:type="pct"/>
            <w:shd w:val="clear" w:color="auto" w:fill="auto"/>
            <w:vAlign w:val="center"/>
          </w:tcPr>
          <w:p w14:paraId="1352B4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46" w:type="pct"/>
            <w:shd w:val="clear" w:color="auto" w:fill="auto"/>
            <w:vAlign w:val="center"/>
          </w:tcPr>
          <w:p w14:paraId="1F18AC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214AE1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156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90" w:hRule="atLeast"/>
        </w:trPr>
        <w:tc>
          <w:tcPr>
            <w:tcW w:w="537" w:type="pct"/>
            <w:vMerge w:val="restart"/>
            <w:shd w:val="clear" w:color="auto" w:fill="auto"/>
            <w:vAlign w:val="center"/>
          </w:tcPr>
          <w:p w14:paraId="37CB00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vMerge w:val="restart"/>
            <w:shd w:val="clear" w:color="auto" w:fill="auto"/>
            <w:vAlign w:val="center"/>
          </w:tcPr>
          <w:p w14:paraId="36151F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62CC69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5.2.6</w:t>
            </w:r>
          </w:p>
        </w:tc>
        <w:tc>
          <w:tcPr>
            <w:tcW w:w="328" w:type="pct"/>
            <w:vMerge w:val="restart"/>
            <w:shd w:val="clear" w:color="auto" w:fill="auto"/>
            <w:vAlign w:val="center"/>
          </w:tcPr>
          <w:p w14:paraId="1EE476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采取措施优化主要功能房间的室内声环境。</w:t>
            </w:r>
          </w:p>
        </w:tc>
        <w:tc>
          <w:tcPr>
            <w:tcW w:w="1208" w:type="pct"/>
            <w:gridSpan w:val="2"/>
            <w:shd w:val="clear" w:color="auto" w:fill="auto"/>
            <w:vAlign w:val="center"/>
          </w:tcPr>
          <w:p w14:paraId="256FAD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1建筑物外部噪声源传播至主要功能房间的噪声比现行强制性工程建设规范《建筑环境通用规范》GB 55016限值低3dB及以上，得4分；</w:t>
            </w:r>
          </w:p>
        </w:tc>
        <w:tc>
          <w:tcPr>
            <w:tcW w:w="328" w:type="pct"/>
            <w:shd w:val="clear" w:color="auto" w:fill="auto"/>
            <w:vAlign w:val="center"/>
          </w:tcPr>
          <w:p w14:paraId="0DB05C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物理</w:t>
            </w:r>
          </w:p>
        </w:tc>
        <w:tc>
          <w:tcPr>
            <w:tcW w:w="310" w:type="pct"/>
            <w:shd w:val="clear" w:color="auto" w:fill="auto"/>
            <w:vAlign w:val="center"/>
          </w:tcPr>
          <w:p w14:paraId="5FA26D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6" w:type="pct"/>
            <w:shd w:val="clear" w:color="auto" w:fill="auto"/>
            <w:vAlign w:val="center"/>
          </w:tcPr>
          <w:p w14:paraId="6AC391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604278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242B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537" w:type="pct"/>
            <w:vMerge w:val="continue"/>
            <w:shd w:val="clear" w:color="auto" w:fill="auto"/>
            <w:vAlign w:val="center"/>
          </w:tcPr>
          <w:p w14:paraId="0FF55404">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36C50ED8">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7E3A03BB">
            <w:pPr>
              <w:jc w:val="center"/>
              <w:rPr>
                <w:rFonts w:hint="eastAsia" w:ascii="宋体" w:hAnsi="宋体" w:eastAsia="宋体" w:cs="宋体"/>
                <w:i w:val="0"/>
                <w:iCs w:val="0"/>
                <w:color w:val="000000"/>
                <w:sz w:val="21"/>
                <w:szCs w:val="21"/>
                <w:u w:val="none"/>
              </w:rPr>
            </w:pPr>
          </w:p>
        </w:tc>
        <w:tc>
          <w:tcPr>
            <w:tcW w:w="328" w:type="pct"/>
            <w:vMerge w:val="continue"/>
            <w:shd w:val="clear" w:color="auto" w:fill="auto"/>
            <w:vAlign w:val="center"/>
          </w:tcPr>
          <w:p w14:paraId="73BD3772">
            <w:pPr>
              <w:jc w:val="center"/>
              <w:rPr>
                <w:rFonts w:hint="eastAsia" w:ascii="宋体" w:hAnsi="宋体" w:eastAsia="宋体" w:cs="宋体"/>
                <w:i w:val="0"/>
                <w:iCs w:val="0"/>
                <w:color w:val="000000"/>
                <w:sz w:val="21"/>
                <w:szCs w:val="21"/>
                <w:u w:val="none"/>
              </w:rPr>
            </w:pPr>
          </w:p>
        </w:tc>
        <w:tc>
          <w:tcPr>
            <w:tcW w:w="1208" w:type="pct"/>
            <w:gridSpan w:val="2"/>
            <w:shd w:val="clear" w:color="auto" w:fill="auto"/>
            <w:vAlign w:val="center"/>
          </w:tcPr>
          <w:p w14:paraId="103068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2建筑物内部建筑设备传播至主要功能房间的噪声比现行强制性工程建设规范《建筑环境通用规范》GB 55016限值低3dB及以上，得4分。</w:t>
            </w:r>
          </w:p>
        </w:tc>
        <w:tc>
          <w:tcPr>
            <w:tcW w:w="328" w:type="pct"/>
            <w:shd w:val="clear" w:color="auto" w:fill="auto"/>
            <w:vAlign w:val="center"/>
          </w:tcPr>
          <w:p w14:paraId="3BD240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物理</w:t>
            </w:r>
          </w:p>
        </w:tc>
        <w:tc>
          <w:tcPr>
            <w:tcW w:w="310" w:type="pct"/>
            <w:shd w:val="clear" w:color="auto" w:fill="auto"/>
            <w:vAlign w:val="center"/>
          </w:tcPr>
          <w:p w14:paraId="499131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6" w:type="pct"/>
            <w:shd w:val="clear" w:color="auto" w:fill="auto"/>
            <w:vAlign w:val="center"/>
          </w:tcPr>
          <w:p w14:paraId="6279FE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30ABE1E3">
            <w:pPr>
              <w:rPr>
                <w:rFonts w:hint="eastAsia" w:ascii="等线" w:hAnsi="等线" w:eastAsia="等线" w:cs="等线"/>
                <w:i w:val="0"/>
                <w:iCs w:val="0"/>
                <w:color w:val="000000"/>
                <w:sz w:val="21"/>
                <w:szCs w:val="21"/>
                <w:u w:val="none"/>
              </w:rPr>
            </w:pPr>
          </w:p>
        </w:tc>
      </w:tr>
      <w:tr w14:paraId="54C3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537" w:type="pct"/>
            <w:vMerge w:val="restart"/>
            <w:shd w:val="clear" w:color="auto" w:fill="auto"/>
            <w:vAlign w:val="center"/>
          </w:tcPr>
          <w:p w14:paraId="73FC88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vMerge w:val="restart"/>
            <w:shd w:val="clear" w:color="auto" w:fill="auto"/>
            <w:vAlign w:val="center"/>
          </w:tcPr>
          <w:p w14:paraId="20A08F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评分项    </w:t>
            </w:r>
          </w:p>
        </w:tc>
        <w:tc>
          <w:tcPr>
            <w:tcW w:w="346" w:type="pct"/>
            <w:vMerge w:val="restart"/>
            <w:shd w:val="clear" w:color="auto" w:fill="auto"/>
            <w:vAlign w:val="center"/>
          </w:tcPr>
          <w:p w14:paraId="7E6EEA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5.2.7</w:t>
            </w:r>
          </w:p>
        </w:tc>
        <w:tc>
          <w:tcPr>
            <w:tcW w:w="578" w:type="pct"/>
            <w:gridSpan w:val="2"/>
            <w:vMerge w:val="restart"/>
            <w:shd w:val="clear" w:color="auto" w:fill="auto"/>
            <w:vAlign w:val="center"/>
          </w:tcPr>
          <w:p w14:paraId="4C5BCB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主要功能房间的隔声性能良好。</w:t>
            </w:r>
          </w:p>
        </w:tc>
        <w:tc>
          <w:tcPr>
            <w:tcW w:w="958" w:type="pct"/>
            <w:shd w:val="clear" w:color="auto" w:fill="auto"/>
            <w:vAlign w:val="center"/>
          </w:tcPr>
          <w:p w14:paraId="6352B2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住宅建筑1.卧室含窗外墙计权标准化声压级差与交通噪声频谱修正量之和≥35dB                 公共建筑1.计权标准化声压级差与交通噪声频谱修正量之和D</w:t>
            </w:r>
            <w:r>
              <w:rPr>
                <w:rFonts w:hint="eastAsia" w:ascii="宋体" w:hAnsi="宋体" w:eastAsia="宋体" w:cs="宋体"/>
                <w:i w:val="0"/>
                <w:iCs w:val="0"/>
                <w:color w:val="000000"/>
                <w:kern w:val="0"/>
                <w:sz w:val="21"/>
                <w:szCs w:val="21"/>
                <w:u w:val="none"/>
                <w:vertAlign w:val="subscript"/>
                <w:lang w:val="en-US" w:eastAsia="zh-CN" w:bidi="ar"/>
              </w:rPr>
              <w:t>2m,nT,w</w:t>
            </w:r>
            <w:r>
              <w:rPr>
                <w:rFonts w:hint="eastAsia" w:ascii="宋体" w:hAnsi="宋体" w:eastAsia="宋体" w:cs="宋体"/>
                <w:i w:val="0"/>
                <w:iCs w:val="0"/>
                <w:color w:val="000000"/>
                <w:kern w:val="0"/>
                <w:sz w:val="21"/>
                <w:szCs w:val="21"/>
                <w:u w:val="none"/>
                <w:lang w:val="en-US" w:eastAsia="zh-CN" w:bidi="ar"/>
              </w:rPr>
              <w:t xml:space="preserve"> +C</w:t>
            </w:r>
            <w:r>
              <w:rPr>
                <w:rFonts w:hint="eastAsia" w:ascii="宋体" w:hAnsi="宋体" w:eastAsia="宋体" w:cs="宋体"/>
                <w:i w:val="0"/>
                <w:iCs w:val="0"/>
                <w:color w:val="000000"/>
                <w:kern w:val="0"/>
                <w:sz w:val="21"/>
                <w:szCs w:val="21"/>
                <w:u w:val="none"/>
                <w:vertAlign w:val="subscript"/>
                <w:lang w:val="en-US" w:eastAsia="zh-CN" w:bidi="ar"/>
              </w:rPr>
              <w:t>tr</w:t>
            </w:r>
            <w:r>
              <w:rPr>
                <w:rFonts w:hint="eastAsia" w:ascii="宋体" w:hAnsi="宋体" w:eastAsia="宋体" w:cs="宋体"/>
                <w:i w:val="0"/>
                <w:iCs w:val="0"/>
                <w:color w:val="000000"/>
                <w:kern w:val="0"/>
                <w:sz w:val="21"/>
                <w:szCs w:val="21"/>
                <w:u w:val="none"/>
                <w:lang w:val="en-US" w:eastAsia="zh-CN" w:bidi="ar"/>
              </w:rPr>
              <w:t xml:space="preserve"> </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30dB</w:t>
            </w:r>
          </w:p>
        </w:tc>
        <w:tc>
          <w:tcPr>
            <w:tcW w:w="328" w:type="pct"/>
            <w:shd w:val="clear" w:color="auto" w:fill="auto"/>
            <w:vAlign w:val="center"/>
          </w:tcPr>
          <w:p w14:paraId="5C84C1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建筑、物理、装修</w:t>
            </w:r>
          </w:p>
        </w:tc>
        <w:tc>
          <w:tcPr>
            <w:tcW w:w="310" w:type="pct"/>
            <w:shd w:val="clear" w:color="auto" w:fill="auto"/>
            <w:vAlign w:val="center"/>
          </w:tcPr>
          <w:p w14:paraId="3B4072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6" w:type="pct"/>
            <w:shd w:val="clear" w:color="auto" w:fill="auto"/>
            <w:vAlign w:val="center"/>
          </w:tcPr>
          <w:p w14:paraId="649461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7396597E">
            <w:pPr>
              <w:rPr>
                <w:rFonts w:hint="eastAsia" w:ascii="等线" w:hAnsi="等线" w:eastAsia="等线" w:cs="等线"/>
                <w:i w:val="0"/>
                <w:iCs w:val="0"/>
                <w:color w:val="000000"/>
                <w:sz w:val="21"/>
                <w:szCs w:val="21"/>
                <w:u w:val="none"/>
              </w:rPr>
            </w:pPr>
          </w:p>
        </w:tc>
      </w:tr>
      <w:tr w14:paraId="7A304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0" w:hRule="atLeast"/>
        </w:trPr>
        <w:tc>
          <w:tcPr>
            <w:tcW w:w="537" w:type="pct"/>
            <w:vMerge w:val="continue"/>
            <w:shd w:val="clear" w:color="auto" w:fill="auto"/>
            <w:vAlign w:val="center"/>
          </w:tcPr>
          <w:p w14:paraId="40E178EF">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51344C30">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59E6147B">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62A46F39">
            <w:pPr>
              <w:jc w:val="center"/>
              <w:rPr>
                <w:rFonts w:hint="eastAsia" w:ascii="宋体" w:hAnsi="宋体" w:eastAsia="宋体" w:cs="宋体"/>
                <w:i w:val="0"/>
                <w:iCs w:val="0"/>
                <w:color w:val="000000"/>
                <w:sz w:val="21"/>
                <w:szCs w:val="21"/>
                <w:u w:val="none"/>
              </w:rPr>
            </w:pPr>
          </w:p>
        </w:tc>
        <w:tc>
          <w:tcPr>
            <w:tcW w:w="958" w:type="pct"/>
            <w:vMerge w:val="restart"/>
            <w:shd w:val="clear" w:color="auto" w:fill="auto"/>
            <w:vAlign w:val="center"/>
          </w:tcPr>
          <w:p w14:paraId="5B6DA2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住宅建筑2.相邻两户房间之间，隔墙两侧房间之间及楼板上下房间之间：计权标准化声压级差与交通噪声频谱修正量之和D</w:t>
            </w:r>
            <w:r>
              <w:rPr>
                <w:rFonts w:hint="eastAsia" w:ascii="宋体" w:hAnsi="宋体" w:eastAsia="宋体" w:cs="宋体"/>
                <w:i w:val="0"/>
                <w:iCs w:val="0"/>
                <w:color w:val="000000"/>
                <w:kern w:val="0"/>
                <w:sz w:val="21"/>
                <w:szCs w:val="21"/>
                <w:u w:val="none"/>
                <w:vertAlign w:val="subscript"/>
                <w:lang w:val="en-US" w:eastAsia="zh-CN" w:bidi="ar"/>
              </w:rPr>
              <w:t>nT,w</w:t>
            </w:r>
            <w:r>
              <w:rPr>
                <w:rFonts w:hint="eastAsia" w:ascii="宋体" w:hAnsi="宋体" w:eastAsia="宋体" w:cs="宋体"/>
                <w:i w:val="0"/>
                <w:iCs w:val="0"/>
                <w:color w:val="000000"/>
                <w:kern w:val="0"/>
                <w:sz w:val="21"/>
                <w:szCs w:val="21"/>
                <w:u w:val="none"/>
                <w:lang w:val="en-US" w:eastAsia="zh-CN" w:bidi="ar"/>
              </w:rPr>
              <w:t xml:space="preserve"> + C</w:t>
            </w:r>
            <w:r>
              <w:rPr>
                <w:rFonts w:hint="eastAsia" w:ascii="宋体" w:hAnsi="宋体" w:eastAsia="宋体" w:cs="宋体"/>
                <w:i w:val="0"/>
                <w:iCs w:val="0"/>
                <w:color w:val="000000"/>
                <w:kern w:val="0"/>
                <w:sz w:val="21"/>
                <w:szCs w:val="21"/>
                <w:u w:val="none"/>
                <w:vertAlign w:val="subscript"/>
                <w:lang w:val="en-US" w:eastAsia="zh-CN" w:bidi="ar"/>
              </w:rPr>
              <w:t>tr</w:t>
            </w:r>
            <w:r>
              <w:rPr>
                <w:rFonts w:hint="eastAsia" w:ascii="宋体" w:hAnsi="宋体" w:eastAsia="宋体" w:cs="宋体"/>
                <w:i w:val="0"/>
                <w:iCs w:val="0"/>
                <w:color w:val="000000"/>
                <w:kern w:val="0"/>
                <w:sz w:val="21"/>
                <w:szCs w:val="21"/>
                <w:u w:val="none"/>
                <w:lang w:val="en-US" w:eastAsia="zh-CN" w:bidi="ar"/>
              </w:rPr>
              <w:t>≥50dB(卧室与邻户房间之间)且计权标准化声压级差与粉红噪声频谱修正量之和D</w:t>
            </w:r>
            <w:r>
              <w:rPr>
                <w:rFonts w:hint="eastAsia" w:ascii="宋体" w:hAnsi="宋体" w:eastAsia="宋体" w:cs="宋体"/>
                <w:i w:val="0"/>
                <w:iCs w:val="0"/>
                <w:color w:val="000000"/>
                <w:kern w:val="0"/>
                <w:sz w:val="21"/>
                <w:szCs w:val="21"/>
                <w:u w:val="none"/>
                <w:vertAlign w:val="subscript"/>
                <w:lang w:val="en-US" w:eastAsia="zh-CN" w:bidi="ar"/>
              </w:rPr>
              <w:t xml:space="preserve">nT,w </w:t>
            </w:r>
            <w:r>
              <w:rPr>
                <w:rFonts w:hint="eastAsia" w:ascii="宋体" w:hAnsi="宋体" w:eastAsia="宋体" w:cs="宋体"/>
                <w:i w:val="0"/>
                <w:iCs w:val="0"/>
                <w:color w:val="000000"/>
                <w:kern w:val="0"/>
                <w:sz w:val="21"/>
                <w:szCs w:val="21"/>
                <w:u w:val="none"/>
                <w:lang w:val="en-US" w:eastAsia="zh-CN" w:bidi="ar"/>
              </w:rPr>
              <w:t xml:space="preserve">+ C≥50dB(其它相邻两户房间之间)             </w:t>
            </w:r>
          </w:p>
          <w:p w14:paraId="5A8AE9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公共建筑2.比国家民用建筑隔声设计标准规定限值高3dB及以上</w:t>
            </w:r>
          </w:p>
        </w:tc>
        <w:tc>
          <w:tcPr>
            <w:tcW w:w="328" w:type="pct"/>
            <w:shd w:val="clear" w:color="auto" w:fill="auto"/>
            <w:vAlign w:val="center"/>
          </w:tcPr>
          <w:p w14:paraId="391060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建筑、物理、装修</w:t>
            </w:r>
          </w:p>
        </w:tc>
        <w:tc>
          <w:tcPr>
            <w:tcW w:w="310" w:type="pct"/>
            <w:shd w:val="clear" w:color="auto" w:fill="auto"/>
            <w:vAlign w:val="center"/>
          </w:tcPr>
          <w:p w14:paraId="1AD1EE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6" w:type="pct"/>
            <w:shd w:val="clear" w:color="auto" w:fill="auto"/>
            <w:vAlign w:val="center"/>
          </w:tcPr>
          <w:p w14:paraId="278349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727A4F08">
            <w:pPr>
              <w:rPr>
                <w:rFonts w:hint="eastAsia" w:ascii="等线" w:hAnsi="等线" w:eastAsia="等线" w:cs="等线"/>
                <w:i w:val="0"/>
                <w:iCs w:val="0"/>
                <w:color w:val="000000"/>
                <w:sz w:val="21"/>
                <w:szCs w:val="21"/>
                <w:u w:val="none"/>
              </w:rPr>
            </w:pPr>
          </w:p>
        </w:tc>
      </w:tr>
      <w:tr w14:paraId="3423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537" w:type="pct"/>
            <w:vMerge w:val="continue"/>
            <w:shd w:val="clear" w:color="auto" w:fill="auto"/>
            <w:vAlign w:val="center"/>
          </w:tcPr>
          <w:p w14:paraId="356D7EBD">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13466AB6">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251545C8">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6C6D8285">
            <w:pPr>
              <w:jc w:val="center"/>
              <w:rPr>
                <w:rFonts w:hint="eastAsia" w:ascii="宋体" w:hAnsi="宋体" w:eastAsia="宋体" w:cs="宋体"/>
                <w:i w:val="0"/>
                <w:iCs w:val="0"/>
                <w:color w:val="000000"/>
                <w:sz w:val="21"/>
                <w:szCs w:val="21"/>
                <w:u w:val="none"/>
              </w:rPr>
            </w:pPr>
          </w:p>
        </w:tc>
        <w:tc>
          <w:tcPr>
            <w:tcW w:w="958" w:type="pct"/>
            <w:vMerge w:val="continue"/>
            <w:shd w:val="clear" w:color="auto" w:fill="auto"/>
            <w:vAlign w:val="center"/>
          </w:tcPr>
          <w:p w14:paraId="65DB2979">
            <w:pPr>
              <w:jc w:val="center"/>
              <w:rPr>
                <w:rFonts w:hint="eastAsia" w:ascii="宋体" w:hAnsi="宋体" w:eastAsia="宋体" w:cs="宋体"/>
                <w:i w:val="0"/>
                <w:iCs w:val="0"/>
                <w:color w:val="000000"/>
                <w:sz w:val="21"/>
                <w:szCs w:val="21"/>
                <w:u w:val="none"/>
              </w:rPr>
            </w:pPr>
          </w:p>
        </w:tc>
        <w:tc>
          <w:tcPr>
            <w:tcW w:w="328" w:type="pct"/>
            <w:shd w:val="clear" w:color="auto" w:fill="auto"/>
            <w:vAlign w:val="center"/>
          </w:tcPr>
          <w:p w14:paraId="3D67CC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建筑、物理、装修</w:t>
            </w:r>
          </w:p>
        </w:tc>
        <w:tc>
          <w:tcPr>
            <w:tcW w:w="310" w:type="pct"/>
            <w:shd w:val="clear" w:color="auto" w:fill="auto"/>
            <w:vAlign w:val="center"/>
          </w:tcPr>
          <w:p w14:paraId="015E2C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6" w:type="pct"/>
            <w:shd w:val="clear" w:color="auto" w:fill="auto"/>
            <w:vAlign w:val="center"/>
          </w:tcPr>
          <w:p w14:paraId="6381AF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5167D061">
            <w:pPr>
              <w:rPr>
                <w:rFonts w:hint="eastAsia" w:ascii="等线" w:hAnsi="等线" w:eastAsia="等线" w:cs="等线"/>
                <w:i w:val="0"/>
                <w:iCs w:val="0"/>
                <w:color w:val="000000"/>
                <w:sz w:val="21"/>
                <w:szCs w:val="21"/>
                <w:u w:val="none"/>
              </w:rPr>
            </w:pPr>
          </w:p>
        </w:tc>
      </w:tr>
      <w:tr w14:paraId="549D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537" w:type="pct"/>
            <w:vMerge w:val="continue"/>
            <w:shd w:val="clear" w:color="auto" w:fill="auto"/>
            <w:vAlign w:val="center"/>
          </w:tcPr>
          <w:p w14:paraId="14155425">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1E91DC21">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656CA7F9">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3791B4AE">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54F6E3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住宅建筑3.卧室、起居室楼板撞击声隔声：楼板撞击声隔声比民用建筑隔声设计标准规定限值低L</w:t>
            </w:r>
            <w:r>
              <w:rPr>
                <w:rFonts w:hint="default"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vertAlign w:val="subscript"/>
                <w:lang w:val="en-US" w:eastAsia="zh-CN" w:bidi="ar"/>
              </w:rPr>
              <w:t>nT,w</w:t>
            </w:r>
            <w:r>
              <w:rPr>
                <w:rFonts w:hint="eastAsia" w:ascii="宋体" w:hAnsi="宋体" w:eastAsia="宋体" w:cs="宋体"/>
                <w:i w:val="0"/>
                <w:iCs w:val="0"/>
                <w:color w:val="000000"/>
                <w:kern w:val="0"/>
                <w:sz w:val="21"/>
                <w:szCs w:val="21"/>
                <w:u w:val="none"/>
                <w:vertAlign w:val="baseline"/>
                <w:lang w:val="en-US" w:eastAsia="zh-CN" w:bidi="ar"/>
              </w:rPr>
              <w:t>+</w:t>
            </w:r>
            <w:r>
              <w:rPr>
                <w:rFonts w:hint="eastAsia" w:ascii="宋体" w:hAnsi="宋体" w:eastAsia="宋体" w:cs="宋体"/>
                <w:i w:val="0"/>
                <w:iCs w:val="0"/>
                <w:color w:val="000000"/>
                <w:kern w:val="0"/>
                <w:sz w:val="21"/>
                <w:szCs w:val="21"/>
                <w:u w:val="none"/>
                <w:lang w:val="en-US" w:eastAsia="zh-CN" w:bidi="ar"/>
              </w:rPr>
              <w:t>C</w:t>
            </w:r>
            <w:r>
              <w:rPr>
                <w:rFonts w:hint="eastAsia" w:ascii="宋体" w:hAnsi="宋体" w:eastAsia="宋体" w:cs="宋体"/>
                <w:i w:val="0"/>
                <w:iCs w:val="0"/>
                <w:color w:val="000000"/>
                <w:kern w:val="0"/>
                <w:sz w:val="21"/>
                <w:szCs w:val="21"/>
                <w:u w:val="none"/>
                <w:vertAlign w:val="subscript"/>
                <w:lang w:val="en-US" w:eastAsia="zh-CN" w:bidi="ar"/>
              </w:rPr>
              <w:t>trxi</w:t>
            </w:r>
            <w:r>
              <w:rPr>
                <w:rFonts w:hint="eastAsia" w:ascii="宋体" w:hAnsi="宋体" w:eastAsia="宋体" w:cs="宋体"/>
                <w:i w:val="0"/>
                <w:iCs w:val="0"/>
                <w:color w:val="000000"/>
                <w:kern w:val="0"/>
                <w:sz w:val="21"/>
                <w:szCs w:val="21"/>
                <w:u w:val="none"/>
                <w:vertAlign w:val="baseline"/>
                <w:lang w:val="en-US" w:eastAsia="zh-CN" w:bidi="ar"/>
              </w:rPr>
              <w:t>≤60</w:t>
            </w:r>
            <w:r>
              <w:rPr>
                <w:rFonts w:hint="eastAsia" w:ascii="宋体" w:hAnsi="宋体" w:eastAsia="宋体" w:cs="宋体"/>
                <w:i w:val="0"/>
                <w:iCs w:val="0"/>
                <w:color w:val="000000"/>
                <w:kern w:val="0"/>
                <w:sz w:val="21"/>
                <w:szCs w:val="21"/>
                <w:u w:val="none"/>
                <w:lang w:val="en-US" w:eastAsia="zh-CN" w:bidi="ar"/>
              </w:rPr>
              <w:t>dB（55dB）及以上                         公共建筑3.比国家民用建筑隔声设计标准规定限值低5dB(10dB)及以上</w:t>
            </w:r>
          </w:p>
        </w:tc>
        <w:tc>
          <w:tcPr>
            <w:tcW w:w="328" w:type="pct"/>
            <w:shd w:val="clear" w:color="auto" w:fill="auto"/>
            <w:vAlign w:val="center"/>
          </w:tcPr>
          <w:p w14:paraId="7371EB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建筑、物理、装修</w:t>
            </w:r>
          </w:p>
        </w:tc>
        <w:tc>
          <w:tcPr>
            <w:tcW w:w="310" w:type="pct"/>
            <w:shd w:val="clear" w:color="auto" w:fill="auto"/>
            <w:vAlign w:val="center"/>
          </w:tcPr>
          <w:p w14:paraId="6F713E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46" w:type="pct"/>
            <w:shd w:val="clear" w:color="auto" w:fill="auto"/>
            <w:vAlign w:val="center"/>
          </w:tcPr>
          <w:p w14:paraId="719ED5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757EE475">
            <w:pPr>
              <w:rPr>
                <w:rFonts w:hint="eastAsia" w:ascii="等线" w:hAnsi="等线" w:eastAsia="等线" w:cs="等线"/>
                <w:i w:val="0"/>
                <w:iCs w:val="0"/>
                <w:color w:val="000000"/>
                <w:sz w:val="21"/>
                <w:szCs w:val="21"/>
                <w:u w:val="none"/>
              </w:rPr>
            </w:pPr>
          </w:p>
        </w:tc>
      </w:tr>
      <w:tr w14:paraId="2EA5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0" w:hRule="atLeast"/>
        </w:trPr>
        <w:tc>
          <w:tcPr>
            <w:tcW w:w="537" w:type="pct"/>
            <w:shd w:val="clear" w:color="auto" w:fill="auto"/>
            <w:vAlign w:val="center"/>
          </w:tcPr>
          <w:p w14:paraId="15517D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shd w:val="clear" w:color="auto" w:fill="auto"/>
            <w:vAlign w:val="center"/>
          </w:tcPr>
          <w:p w14:paraId="27CDB0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6374F6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5.2.8</w:t>
            </w:r>
          </w:p>
        </w:tc>
        <w:tc>
          <w:tcPr>
            <w:tcW w:w="578" w:type="pct"/>
            <w:gridSpan w:val="2"/>
            <w:shd w:val="clear" w:color="auto" w:fill="auto"/>
            <w:vAlign w:val="center"/>
          </w:tcPr>
          <w:p w14:paraId="4F000A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充分利用天然光。</w:t>
            </w:r>
          </w:p>
        </w:tc>
        <w:tc>
          <w:tcPr>
            <w:tcW w:w="958" w:type="pct"/>
            <w:shd w:val="clear" w:color="auto" w:fill="auto"/>
            <w:vAlign w:val="center"/>
          </w:tcPr>
          <w:p w14:paraId="10AC56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1住宅建筑室内主要功能空间至少60%面积比例区域，其釆光照度值不低 于300lx的小时数平均不少于8h/d,得12分；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2公共建筑按下列规则分别评分并累计：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内区釆光系数满足釆光要求的面积比例达到60%,得4分；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地下空间平均釆光系数不小于0.5%的面积与地下室首层面积的比例达 到10%以上，得4分；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室内主要功能空间至少60%面积比例区域的釆光照度值不低于釆光要 求的小时数平均不少于4h/d,得4分。</w:t>
            </w:r>
          </w:p>
        </w:tc>
        <w:tc>
          <w:tcPr>
            <w:tcW w:w="328" w:type="pct"/>
            <w:shd w:val="clear" w:color="auto" w:fill="auto"/>
            <w:vAlign w:val="center"/>
          </w:tcPr>
          <w:p w14:paraId="6106BB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建筑、物理</w:t>
            </w:r>
          </w:p>
        </w:tc>
        <w:tc>
          <w:tcPr>
            <w:tcW w:w="310" w:type="pct"/>
            <w:shd w:val="clear" w:color="auto" w:fill="auto"/>
            <w:vAlign w:val="center"/>
          </w:tcPr>
          <w:p w14:paraId="282A01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46" w:type="pct"/>
            <w:shd w:val="clear" w:color="auto" w:fill="auto"/>
            <w:vAlign w:val="center"/>
          </w:tcPr>
          <w:p w14:paraId="4B68F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519EC2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06C6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00" w:hRule="atLeast"/>
        </w:trPr>
        <w:tc>
          <w:tcPr>
            <w:tcW w:w="537" w:type="pct"/>
            <w:shd w:val="clear" w:color="auto" w:fill="auto"/>
            <w:vAlign w:val="center"/>
          </w:tcPr>
          <w:p w14:paraId="0225B5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shd w:val="clear" w:color="auto" w:fill="auto"/>
            <w:vAlign w:val="center"/>
          </w:tcPr>
          <w:p w14:paraId="31257C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5025B7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5.2.9</w:t>
            </w:r>
          </w:p>
        </w:tc>
        <w:tc>
          <w:tcPr>
            <w:tcW w:w="1536" w:type="pct"/>
            <w:gridSpan w:val="3"/>
            <w:shd w:val="clear" w:color="auto" w:fill="auto"/>
            <w:vAlign w:val="center"/>
          </w:tcPr>
          <w:p w14:paraId="4C7A295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具有良好的室内热湿环境。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1建筑主要功能房间自然通风或复合通风工况下室内热环境参数在适应性热舒适区域的时间比例，达到30％，得2分；每再增加10％，再得1分，最高得8分。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2建筑主要功能房间供暖、空调工况下室内热环境参数达到现行国家标准《民用建筑室内热湿环境评价标准》GB/T 50785规定的室内人工冷热源热湿环境整体评价Ⅱ级的面积比例，达到60％，得5分；每再增加10％，再得1分，最高得8分。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3当建筑主要功能房间部分时段采用自然通风或复合通风，部分时段采用供暖、空调时，按照第1款、第2款分别评分后再按各工况运行时间加权平均计算作为本条得分。</w:t>
            </w:r>
          </w:p>
        </w:tc>
        <w:tc>
          <w:tcPr>
            <w:tcW w:w="328" w:type="pct"/>
            <w:shd w:val="clear" w:color="auto" w:fill="auto"/>
            <w:vAlign w:val="center"/>
          </w:tcPr>
          <w:p w14:paraId="1281C7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建筑、物理</w:t>
            </w:r>
          </w:p>
        </w:tc>
        <w:tc>
          <w:tcPr>
            <w:tcW w:w="310" w:type="pct"/>
            <w:shd w:val="clear" w:color="auto" w:fill="auto"/>
            <w:vAlign w:val="center"/>
          </w:tcPr>
          <w:p w14:paraId="47A4E5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46" w:type="pct"/>
            <w:shd w:val="clear" w:color="auto" w:fill="auto"/>
            <w:vAlign w:val="center"/>
          </w:tcPr>
          <w:p w14:paraId="3ED6AA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180213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F25B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537" w:type="pct"/>
            <w:shd w:val="clear" w:color="auto" w:fill="auto"/>
            <w:vAlign w:val="center"/>
          </w:tcPr>
          <w:p w14:paraId="64CA1E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shd w:val="clear" w:color="auto" w:fill="auto"/>
            <w:vAlign w:val="center"/>
          </w:tcPr>
          <w:p w14:paraId="000CB0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7AC6DD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5.2.10</w:t>
            </w:r>
          </w:p>
        </w:tc>
        <w:tc>
          <w:tcPr>
            <w:tcW w:w="1536" w:type="pct"/>
            <w:gridSpan w:val="3"/>
            <w:shd w:val="clear" w:color="auto" w:fill="auto"/>
            <w:vAlign w:val="center"/>
          </w:tcPr>
          <w:p w14:paraId="76DFF4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优化建筑空间和平面布局，改善自然通风效果。评价总分值为8分，并按下列规则评分: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住宅建筑：有效自然通风的开口面积达到房间地板面积的比例在夏热冬暖和温和B地区达到 12%，在夏热冬冷和温和A地区达到 8%，在其他地区达到 5%，得 5 分；每再增加2%，再得1分，最高得8分。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2公共建筑：过渡季典型工况下主要功能房间平均自然通风换气次数不小 于2次/h的面积比例达到70%,得5分；每再增加10%,再得1分，最高得8分。</w:t>
            </w:r>
          </w:p>
        </w:tc>
        <w:tc>
          <w:tcPr>
            <w:tcW w:w="328" w:type="pct"/>
            <w:shd w:val="clear" w:color="auto" w:fill="auto"/>
            <w:vAlign w:val="center"/>
          </w:tcPr>
          <w:p w14:paraId="60E70B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建筑、物理</w:t>
            </w:r>
          </w:p>
        </w:tc>
        <w:tc>
          <w:tcPr>
            <w:tcW w:w="310" w:type="pct"/>
            <w:shd w:val="clear" w:color="auto" w:fill="auto"/>
            <w:vAlign w:val="center"/>
          </w:tcPr>
          <w:p w14:paraId="3199EC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46" w:type="pct"/>
            <w:shd w:val="clear" w:color="auto" w:fill="auto"/>
            <w:vAlign w:val="center"/>
          </w:tcPr>
          <w:p w14:paraId="7BC7CC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6202F5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85BA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537" w:type="pct"/>
            <w:shd w:val="clear" w:color="auto" w:fill="auto"/>
            <w:vAlign w:val="center"/>
          </w:tcPr>
          <w:p w14:paraId="3C7468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健康舒适</w:t>
            </w:r>
          </w:p>
        </w:tc>
        <w:tc>
          <w:tcPr>
            <w:tcW w:w="292" w:type="pct"/>
            <w:shd w:val="clear" w:color="auto" w:fill="auto"/>
            <w:vAlign w:val="center"/>
          </w:tcPr>
          <w:p w14:paraId="056352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67EC35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5.2.11</w:t>
            </w:r>
          </w:p>
        </w:tc>
        <w:tc>
          <w:tcPr>
            <w:tcW w:w="1536" w:type="pct"/>
            <w:gridSpan w:val="3"/>
            <w:shd w:val="clear" w:color="auto" w:fill="auto"/>
            <w:vAlign w:val="center"/>
          </w:tcPr>
          <w:p w14:paraId="7BD109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设置可调节遮阳设施，改善室内热舒适。评价总分值为9分，根据可调 节遮阳设施的面积占外窗透明部分的比例按表5.2.11的规则评分。</w:t>
            </w:r>
          </w:p>
        </w:tc>
        <w:tc>
          <w:tcPr>
            <w:tcW w:w="328" w:type="pct"/>
            <w:shd w:val="clear" w:color="auto" w:fill="auto"/>
            <w:vAlign w:val="center"/>
          </w:tcPr>
          <w:p w14:paraId="12926E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建筑、物理</w:t>
            </w:r>
          </w:p>
        </w:tc>
        <w:tc>
          <w:tcPr>
            <w:tcW w:w="310" w:type="pct"/>
            <w:shd w:val="clear" w:color="auto" w:fill="auto"/>
            <w:vAlign w:val="center"/>
          </w:tcPr>
          <w:p w14:paraId="30F0E4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46" w:type="pct"/>
            <w:shd w:val="clear" w:color="auto" w:fill="auto"/>
            <w:vAlign w:val="center"/>
          </w:tcPr>
          <w:p w14:paraId="403EEC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179EE04F">
            <w:pPr>
              <w:rPr>
                <w:rFonts w:hint="eastAsia" w:ascii="等线" w:hAnsi="等线" w:eastAsia="等线" w:cs="等线"/>
                <w:i w:val="0"/>
                <w:iCs w:val="0"/>
                <w:color w:val="000000"/>
                <w:sz w:val="21"/>
                <w:szCs w:val="21"/>
                <w:u w:val="none"/>
              </w:rPr>
            </w:pPr>
          </w:p>
        </w:tc>
      </w:tr>
      <w:tr w14:paraId="7B6D8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537" w:type="pct"/>
            <w:shd w:val="clear" w:color="auto" w:fill="auto"/>
            <w:vAlign w:val="center"/>
          </w:tcPr>
          <w:p w14:paraId="1759D0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 生活便利</w:t>
            </w:r>
          </w:p>
        </w:tc>
        <w:tc>
          <w:tcPr>
            <w:tcW w:w="292" w:type="pct"/>
            <w:shd w:val="clear" w:color="auto" w:fill="auto"/>
            <w:vAlign w:val="center"/>
          </w:tcPr>
          <w:p w14:paraId="315B80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437F5E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6.1.1</w:t>
            </w:r>
          </w:p>
        </w:tc>
        <w:tc>
          <w:tcPr>
            <w:tcW w:w="1536" w:type="pct"/>
            <w:gridSpan w:val="3"/>
            <w:shd w:val="clear" w:color="auto" w:fill="auto"/>
            <w:vAlign w:val="center"/>
          </w:tcPr>
          <w:p w14:paraId="5236DE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建筑、室外场地、公共绿地、城市道路相互之间应设置连贯的无障碍步行系统。</w:t>
            </w:r>
          </w:p>
        </w:tc>
        <w:tc>
          <w:tcPr>
            <w:tcW w:w="328" w:type="pct"/>
            <w:shd w:val="clear" w:color="auto" w:fill="auto"/>
            <w:vAlign w:val="center"/>
          </w:tcPr>
          <w:p w14:paraId="5A91F3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2934C8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10EC8A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20F09C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18E53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7" w:hRule="atLeast"/>
        </w:trPr>
        <w:tc>
          <w:tcPr>
            <w:tcW w:w="537" w:type="pct"/>
            <w:shd w:val="clear" w:color="auto" w:fill="auto"/>
            <w:vAlign w:val="center"/>
          </w:tcPr>
          <w:p w14:paraId="00B4EA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 生活便利</w:t>
            </w:r>
          </w:p>
        </w:tc>
        <w:tc>
          <w:tcPr>
            <w:tcW w:w="292" w:type="pct"/>
            <w:shd w:val="clear" w:color="auto" w:fill="auto"/>
            <w:vAlign w:val="center"/>
          </w:tcPr>
          <w:p w14:paraId="25C890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455803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6.1.2</w:t>
            </w:r>
          </w:p>
        </w:tc>
        <w:tc>
          <w:tcPr>
            <w:tcW w:w="1536" w:type="pct"/>
            <w:gridSpan w:val="3"/>
            <w:shd w:val="clear" w:color="auto" w:fill="auto"/>
            <w:vAlign w:val="center"/>
          </w:tcPr>
          <w:p w14:paraId="7EE5C0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场地人行出入口500m内应设有公共交通站点或配备联系公共交通站点的专用接驳车。</w:t>
            </w:r>
          </w:p>
        </w:tc>
        <w:tc>
          <w:tcPr>
            <w:tcW w:w="328" w:type="pct"/>
            <w:shd w:val="clear" w:color="auto" w:fill="auto"/>
            <w:vAlign w:val="center"/>
          </w:tcPr>
          <w:p w14:paraId="3A55F2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547F3A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740FB5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6CA10C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AAF7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537" w:type="pct"/>
            <w:shd w:val="clear" w:color="auto" w:fill="auto"/>
            <w:vAlign w:val="center"/>
          </w:tcPr>
          <w:p w14:paraId="5F32B5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 生活便利</w:t>
            </w:r>
          </w:p>
        </w:tc>
        <w:tc>
          <w:tcPr>
            <w:tcW w:w="292" w:type="pct"/>
            <w:shd w:val="clear" w:color="auto" w:fill="auto"/>
            <w:vAlign w:val="center"/>
          </w:tcPr>
          <w:p w14:paraId="0817EA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67C9AF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6.1.3</w:t>
            </w:r>
          </w:p>
        </w:tc>
        <w:tc>
          <w:tcPr>
            <w:tcW w:w="1536" w:type="pct"/>
            <w:gridSpan w:val="3"/>
            <w:shd w:val="clear" w:color="auto" w:fill="auto"/>
            <w:vAlign w:val="center"/>
          </w:tcPr>
          <w:p w14:paraId="52C466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停车场应具有电动汽车充电设施或具备充电设施的安装条件，并应合理设置电动汽车和无障碍汽车停车位。</w:t>
            </w:r>
          </w:p>
        </w:tc>
        <w:tc>
          <w:tcPr>
            <w:tcW w:w="328" w:type="pct"/>
            <w:shd w:val="clear" w:color="auto" w:fill="auto"/>
            <w:vAlign w:val="center"/>
          </w:tcPr>
          <w:p w14:paraId="4A7479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w:t>
            </w:r>
          </w:p>
        </w:tc>
        <w:tc>
          <w:tcPr>
            <w:tcW w:w="310" w:type="pct"/>
            <w:shd w:val="clear" w:color="auto" w:fill="auto"/>
            <w:vAlign w:val="center"/>
          </w:tcPr>
          <w:p w14:paraId="39E824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2F3F0B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78F755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BB4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537" w:type="pct"/>
            <w:shd w:val="clear" w:color="auto" w:fill="auto"/>
            <w:vAlign w:val="center"/>
          </w:tcPr>
          <w:p w14:paraId="2F326D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 生活便利</w:t>
            </w:r>
          </w:p>
        </w:tc>
        <w:tc>
          <w:tcPr>
            <w:tcW w:w="292" w:type="pct"/>
            <w:shd w:val="clear" w:color="auto" w:fill="auto"/>
            <w:vAlign w:val="center"/>
          </w:tcPr>
          <w:p w14:paraId="4C0D36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78D36A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6.1.4</w:t>
            </w:r>
          </w:p>
        </w:tc>
        <w:tc>
          <w:tcPr>
            <w:tcW w:w="1536" w:type="pct"/>
            <w:gridSpan w:val="3"/>
            <w:shd w:val="clear" w:color="auto" w:fill="auto"/>
            <w:vAlign w:val="center"/>
          </w:tcPr>
          <w:p w14:paraId="3EB73E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自行车停车场所应位置合理、方便出入。</w:t>
            </w:r>
          </w:p>
        </w:tc>
        <w:tc>
          <w:tcPr>
            <w:tcW w:w="328" w:type="pct"/>
            <w:shd w:val="clear" w:color="auto" w:fill="auto"/>
            <w:vAlign w:val="center"/>
          </w:tcPr>
          <w:p w14:paraId="15ED90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4D8B38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2140F6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259A9C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81B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37" w:type="pct"/>
            <w:shd w:val="clear" w:color="auto" w:fill="auto"/>
            <w:vAlign w:val="center"/>
          </w:tcPr>
          <w:p w14:paraId="2A2711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 生活便利</w:t>
            </w:r>
          </w:p>
        </w:tc>
        <w:tc>
          <w:tcPr>
            <w:tcW w:w="292" w:type="pct"/>
            <w:shd w:val="clear" w:color="auto" w:fill="auto"/>
            <w:vAlign w:val="center"/>
          </w:tcPr>
          <w:p w14:paraId="61901A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35492B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6.1.5</w:t>
            </w:r>
          </w:p>
        </w:tc>
        <w:tc>
          <w:tcPr>
            <w:tcW w:w="1536" w:type="pct"/>
            <w:gridSpan w:val="3"/>
            <w:shd w:val="clear" w:color="auto" w:fill="auto"/>
            <w:vAlign w:val="center"/>
          </w:tcPr>
          <w:p w14:paraId="3EB3B8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建筑设备管理系统应具有自动监控管理功能。</w:t>
            </w:r>
          </w:p>
        </w:tc>
        <w:tc>
          <w:tcPr>
            <w:tcW w:w="328" w:type="pct"/>
            <w:shd w:val="clear" w:color="auto" w:fill="auto"/>
            <w:vAlign w:val="center"/>
          </w:tcPr>
          <w:p w14:paraId="0DEB8D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w:t>
            </w:r>
          </w:p>
        </w:tc>
        <w:tc>
          <w:tcPr>
            <w:tcW w:w="310" w:type="pct"/>
            <w:shd w:val="clear" w:color="auto" w:fill="auto"/>
            <w:vAlign w:val="center"/>
          </w:tcPr>
          <w:p w14:paraId="4E76EF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463EA0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69F012D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0291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537" w:type="pct"/>
            <w:shd w:val="clear" w:color="auto" w:fill="auto"/>
            <w:vAlign w:val="center"/>
          </w:tcPr>
          <w:p w14:paraId="63455B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 生活便利</w:t>
            </w:r>
          </w:p>
        </w:tc>
        <w:tc>
          <w:tcPr>
            <w:tcW w:w="292" w:type="pct"/>
            <w:shd w:val="clear" w:color="auto" w:fill="auto"/>
            <w:vAlign w:val="center"/>
          </w:tcPr>
          <w:p w14:paraId="433645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264DA0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6.1.6</w:t>
            </w:r>
          </w:p>
        </w:tc>
        <w:tc>
          <w:tcPr>
            <w:tcW w:w="1536" w:type="pct"/>
            <w:gridSpan w:val="3"/>
            <w:shd w:val="clear" w:color="auto" w:fill="auto"/>
            <w:vAlign w:val="center"/>
          </w:tcPr>
          <w:p w14:paraId="1C4E72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建筑应设置信息网络系统。</w:t>
            </w:r>
          </w:p>
        </w:tc>
        <w:tc>
          <w:tcPr>
            <w:tcW w:w="328" w:type="pct"/>
            <w:shd w:val="clear" w:color="auto" w:fill="auto"/>
            <w:vAlign w:val="center"/>
          </w:tcPr>
          <w:p w14:paraId="264BEB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w:t>
            </w:r>
          </w:p>
        </w:tc>
        <w:tc>
          <w:tcPr>
            <w:tcW w:w="310" w:type="pct"/>
            <w:shd w:val="clear" w:color="auto" w:fill="auto"/>
            <w:vAlign w:val="center"/>
          </w:tcPr>
          <w:p w14:paraId="7A52B4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05BBFB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23377C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679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537" w:type="pct"/>
            <w:shd w:val="clear" w:color="auto" w:fill="auto"/>
            <w:vAlign w:val="center"/>
          </w:tcPr>
          <w:p w14:paraId="6FA5B4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 生活便利</w:t>
            </w:r>
          </w:p>
        </w:tc>
        <w:tc>
          <w:tcPr>
            <w:tcW w:w="292" w:type="pct"/>
            <w:shd w:val="clear" w:color="auto" w:fill="auto"/>
            <w:vAlign w:val="center"/>
          </w:tcPr>
          <w:p w14:paraId="3855D0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3E580C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6.1.7</w:t>
            </w:r>
          </w:p>
        </w:tc>
        <w:tc>
          <w:tcPr>
            <w:tcW w:w="1536" w:type="pct"/>
            <w:gridSpan w:val="3"/>
            <w:shd w:val="clear" w:color="auto" w:fill="auto"/>
            <w:vAlign w:val="center"/>
          </w:tcPr>
          <w:p w14:paraId="368DDB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生活便利相关技术要求应符合现行强制性工程建设规范《建筑与市政工程无障碍通用规范》GB 55019、《建筑电气与智能化通用规范》GB 55024、《建筑节能与可再生能源利用通用规范》GB 55015等的规定。</w:t>
            </w:r>
          </w:p>
        </w:tc>
        <w:tc>
          <w:tcPr>
            <w:tcW w:w="328" w:type="pct"/>
            <w:shd w:val="clear" w:color="auto" w:fill="auto"/>
            <w:vAlign w:val="center"/>
          </w:tcPr>
          <w:p w14:paraId="0E3810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全专业</w:t>
            </w:r>
          </w:p>
        </w:tc>
        <w:tc>
          <w:tcPr>
            <w:tcW w:w="310" w:type="pct"/>
            <w:shd w:val="clear" w:color="auto" w:fill="auto"/>
            <w:vAlign w:val="center"/>
          </w:tcPr>
          <w:p w14:paraId="41C637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02C4CE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5809F4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344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60" w:hRule="atLeast"/>
        </w:trPr>
        <w:tc>
          <w:tcPr>
            <w:tcW w:w="537" w:type="pct"/>
            <w:vMerge w:val="restart"/>
            <w:shd w:val="clear" w:color="auto" w:fill="auto"/>
            <w:vAlign w:val="center"/>
          </w:tcPr>
          <w:p w14:paraId="79E0D1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 生活便利</w:t>
            </w:r>
          </w:p>
        </w:tc>
        <w:tc>
          <w:tcPr>
            <w:tcW w:w="292" w:type="pct"/>
            <w:vMerge w:val="restart"/>
            <w:shd w:val="clear" w:color="auto" w:fill="auto"/>
            <w:vAlign w:val="center"/>
          </w:tcPr>
          <w:p w14:paraId="36007C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022326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6.2.1</w:t>
            </w:r>
          </w:p>
        </w:tc>
        <w:tc>
          <w:tcPr>
            <w:tcW w:w="578" w:type="pct"/>
            <w:gridSpan w:val="2"/>
            <w:vMerge w:val="restart"/>
            <w:shd w:val="clear" w:color="auto" w:fill="auto"/>
            <w:vAlign w:val="center"/>
          </w:tcPr>
          <w:p w14:paraId="00E35F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场地与公共公交通站点联系便捷。</w:t>
            </w:r>
          </w:p>
        </w:tc>
        <w:tc>
          <w:tcPr>
            <w:tcW w:w="958" w:type="pct"/>
            <w:shd w:val="clear" w:color="auto" w:fill="auto"/>
            <w:vAlign w:val="center"/>
          </w:tcPr>
          <w:p w14:paraId="021BB7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1场地岀入口到达公共交通站点的步行距离不超过500m,或到达轨道交通 站的步行距离不大于800m,得2分；场地岀入口到达公共交通站点的步行距离 不超过300m,或到达轨道交通站的步行距离不大于500m,得4分；</w:t>
            </w:r>
          </w:p>
        </w:tc>
        <w:tc>
          <w:tcPr>
            <w:tcW w:w="328" w:type="pct"/>
            <w:shd w:val="clear" w:color="auto" w:fill="auto"/>
            <w:vAlign w:val="center"/>
          </w:tcPr>
          <w:p w14:paraId="503604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vMerge w:val="restart"/>
            <w:shd w:val="clear" w:color="auto" w:fill="auto"/>
            <w:vAlign w:val="center"/>
          </w:tcPr>
          <w:p w14:paraId="62AFB3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46" w:type="pct"/>
            <w:shd w:val="clear" w:color="auto" w:fill="auto"/>
            <w:vAlign w:val="center"/>
          </w:tcPr>
          <w:p w14:paraId="6E4615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vMerge w:val="restart"/>
            <w:shd w:val="clear" w:color="auto" w:fill="auto"/>
            <w:vAlign w:val="center"/>
          </w:tcPr>
          <w:p w14:paraId="7B4390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E77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37" w:type="pct"/>
            <w:vMerge w:val="continue"/>
            <w:shd w:val="clear" w:color="auto" w:fill="auto"/>
            <w:vAlign w:val="center"/>
          </w:tcPr>
          <w:p w14:paraId="561C04E3">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7462B2B8">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79E04EC0">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3653B158">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19BFD1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2场地出入口步行距离800m范围内设有不少于2条线路的公共交通站点， 得4分。</w:t>
            </w:r>
          </w:p>
        </w:tc>
        <w:tc>
          <w:tcPr>
            <w:tcW w:w="328" w:type="pct"/>
            <w:shd w:val="clear" w:color="auto" w:fill="auto"/>
            <w:vAlign w:val="center"/>
          </w:tcPr>
          <w:p w14:paraId="3BBE6D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vMerge w:val="continue"/>
            <w:shd w:val="clear" w:color="auto" w:fill="auto"/>
            <w:vAlign w:val="center"/>
          </w:tcPr>
          <w:p w14:paraId="19A19DEE">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60809B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vMerge w:val="continue"/>
            <w:shd w:val="clear" w:color="auto" w:fill="auto"/>
            <w:vAlign w:val="center"/>
          </w:tcPr>
          <w:p w14:paraId="4E9A89E7">
            <w:pPr>
              <w:jc w:val="center"/>
              <w:rPr>
                <w:rFonts w:hint="eastAsia" w:ascii="宋体" w:hAnsi="宋体" w:eastAsia="宋体" w:cs="宋体"/>
                <w:i w:val="0"/>
                <w:iCs w:val="0"/>
                <w:color w:val="000000"/>
                <w:sz w:val="21"/>
                <w:szCs w:val="21"/>
                <w:u w:val="none"/>
              </w:rPr>
            </w:pPr>
          </w:p>
        </w:tc>
      </w:tr>
      <w:tr w14:paraId="0A56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537" w:type="pct"/>
            <w:vMerge w:val="restart"/>
            <w:shd w:val="clear" w:color="auto" w:fill="auto"/>
            <w:vAlign w:val="center"/>
          </w:tcPr>
          <w:p w14:paraId="22C2B9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 生活便利</w:t>
            </w:r>
          </w:p>
        </w:tc>
        <w:tc>
          <w:tcPr>
            <w:tcW w:w="292" w:type="pct"/>
            <w:vMerge w:val="restart"/>
            <w:shd w:val="clear" w:color="auto" w:fill="auto"/>
            <w:vAlign w:val="center"/>
          </w:tcPr>
          <w:p w14:paraId="03984D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469767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6.2.2</w:t>
            </w:r>
          </w:p>
        </w:tc>
        <w:tc>
          <w:tcPr>
            <w:tcW w:w="578" w:type="pct"/>
            <w:gridSpan w:val="2"/>
            <w:vMerge w:val="restart"/>
            <w:shd w:val="clear" w:color="auto" w:fill="auto"/>
            <w:vAlign w:val="center"/>
          </w:tcPr>
          <w:p w14:paraId="23C4EC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建筑室内外公共区域满足全龄化设计要求。</w:t>
            </w:r>
          </w:p>
        </w:tc>
        <w:tc>
          <w:tcPr>
            <w:tcW w:w="958" w:type="pct"/>
            <w:shd w:val="clear" w:color="auto" w:fill="auto"/>
            <w:vAlign w:val="center"/>
          </w:tcPr>
          <w:p w14:paraId="4ADF9B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1建筑室内公共区域的墙、柱等处的阳角均为圆角，并设有安全抓杆或扶 手，得5分；</w:t>
            </w:r>
          </w:p>
        </w:tc>
        <w:tc>
          <w:tcPr>
            <w:tcW w:w="328" w:type="pct"/>
            <w:shd w:val="clear" w:color="auto" w:fill="auto"/>
            <w:vAlign w:val="center"/>
          </w:tcPr>
          <w:p w14:paraId="1F1E75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vMerge w:val="restart"/>
            <w:shd w:val="clear" w:color="auto" w:fill="auto"/>
            <w:vAlign w:val="center"/>
          </w:tcPr>
          <w:p w14:paraId="08A9C7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46" w:type="pct"/>
            <w:shd w:val="clear" w:color="auto" w:fill="auto"/>
            <w:vAlign w:val="center"/>
          </w:tcPr>
          <w:p w14:paraId="7E7FA3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7E77D202">
            <w:pPr>
              <w:rPr>
                <w:rFonts w:hint="eastAsia" w:ascii="等线" w:hAnsi="等线" w:eastAsia="等线" w:cs="等线"/>
                <w:i w:val="0"/>
                <w:iCs w:val="0"/>
                <w:color w:val="000000"/>
                <w:sz w:val="21"/>
                <w:szCs w:val="21"/>
                <w:u w:val="none"/>
              </w:rPr>
            </w:pPr>
          </w:p>
        </w:tc>
      </w:tr>
      <w:tr w14:paraId="335E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537" w:type="pct"/>
            <w:vMerge w:val="continue"/>
            <w:shd w:val="clear" w:color="auto" w:fill="auto"/>
            <w:vAlign w:val="center"/>
          </w:tcPr>
          <w:p w14:paraId="55569121">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06337C88">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7E46BB6C">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6BE477BF">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336D29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2设有可容纳担架的无障碍电梯，得3分。</w:t>
            </w:r>
          </w:p>
        </w:tc>
        <w:tc>
          <w:tcPr>
            <w:tcW w:w="328" w:type="pct"/>
            <w:shd w:val="clear" w:color="auto" w:fill="auto"/>
            <w:vAlign w:val="center"/>
          </w:tcPr>
          <w:p w14:paraId="633905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vMerge w:val="continue"/>
            <w:shd w:val="clear" w:color="auto" w:fill="auto"/>
            <w:vAlign w:val="center"/>
          </w:tcPr>
          <w:p w14:paraId="4B03B11C">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712968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701D7495">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6980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20" w:hRule="atLeast"/>
        </w:trPr>
        <w:tc>
          <w:tcPr>
            <w:tcW w:w="537" w:type="pct"/>
            <w:shd w:val="clear" w:color="auto" w:fill="auto"/>
            <w:vAlign w:val="center"/>
          </w:tcPr>
          <w:p w14:paraId="471703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 生活便利</w:t>
            </w:r>
          </w:p>
        </w:tc>
        <w:tc>
          <w:tcPr>
            <w:tcW w:w="292" w:type="pct"/>
            <w:shd w:val="clear" w:color="auto" w:fill="auto"/>
            <w:vAlign w:val="center"/>
          </w:tcPr>
          <w:p w14:paraId="50B442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0C9E74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6.2.3</w:t>
            </w:r>
          </w:p>
        </w:tc>
        <w:tc>
          <w:tcPr>
            <w:tcW w:w="1536" w:type="pct"/>
            <w:gridSpan w:val="3"/>
            <w:shd w:val="clear" w:color="auto" w:fill="auto"/>
            <w:vAlign w:val="center"/>
          </w:tcPr>
          <w:p w14:paraId="226159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6.2.3提供便利的公共服务，评价总分值为10分，并按下列规则评分：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1住宅建筑，满足下列要求中的4项，得5分；满足6项及以上，得10分：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场地出入口到达幼儿园的步行距离不大于300m；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场地出入口到达小学的步行距离不大于500m；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场地出入口到达中学的步行距离不大于1000m；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场地出入口到达医院的步行距离不大于1000m；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场地出入口到达群众文化活动设施的步行距离不大于800m；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场地出入口到达老年人日间照料设施的步行距离不大于500m；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场地周边500m范围内具有不少于3种商业服务设施。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2公共建筑，满足下列要求中的3项，得5分；满足5项，得10分：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建筑内至少兼容2种面向社会的公共服务功能；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建筑向社会公众提供开放的公共活动空间；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电动汽车充电桩的车位数占总车位数的比例不低于10%；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周边500m范围内设有社会公共停车场（库）；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场地不封闭或场地内步行公共通道向社会开放。</w:t>
            </w:r>
          </w:p>
        </w:tc>
        <w:tc>
          <w:tcPr>
            <w:tcW w:w="328" w:type="pct"/>
            <w:shd w:val="clear" w:color="auto" w:fill="auto"/>
            <w:vAlign w:val="center"/>
          </w:tcPr>
          <w:p w14:paraId="6833C7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7130E6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 w:type="pct"/>
            <w:shd w:val="clear" w:color="auto" w:fill="auto"/>
            <w:vAlign w:val="center"/>
          </w:tcPr>
          <w:p w14:paraId="6A8B11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00B184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D96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537" w:type="pct"/>
            <w:vMerge w:val="restart"/>
            <w:shd w:val="clear" w:color="auto" w:fill="auto"/>
            <w:vAlign w:val="center"/>
          </w:tcPr>
          <w:p w14:paraId="6414E7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 生活便利</w:t>
            </w:r>
          </w:p>
        </w:tc>
        <w:tc>
          <w:tcPr>
            <w:tcW w:w="292" w:type="pct"/>
            <w:vMerge w:val="restart"/>
            <w:shd w:val="clear" w:color="auto" w:fill="auto"/>
            <w:vAlign w:val="center"/>
          </w:tcPr>
          <w:p w14:paraId="134820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7A3358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6.2.4</w:t>
            </w:r>
          </w:p>
        </w:tc>
        <w:tc>
          <w:tcPr>
            <w:tcW w:w="578" w:type="pct"/>
            <w:gridSpan w:val="2"/>
            <w:vMerge w:val="restart"/>
            <w:shd w:val="clear" w:color="auto" w:fill="auto"/>
            <w:vAlign w:val="center"/>
          </w:tcPr>
          <w:p w14:paraId="65E3EE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城市绿地、广场及公共运动场地等开敞空间，步行可达。</w:t>
            </w:r>
          </w:p>
        </w:tc>
        <w:tc>
          <w:tcPr>
            <w:tcW w:w="958" w:type="pct"/>
            <w:shd w:val="clear" w:color="auto" w:fill="auto"/>
            <w:vAlign w:val="center"/>
          </w:tcPr>
          <w:p w14:paraId="367869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1场地出入口到达城市公园绿地、居住区公园、广场的步行距离不大于 300m,得 3 分；</w:t>
            </w:r>
          </w:p>
        </w:tc>
        <w:tc>
          <w:tcPr>
            <w:tcW w:w="328" w:type="pct"/>
            <w:shd w:val="clear" w:color="auto" w:fill="auto"/>
            <w:vAlign w:val="center"/>
          </w:tcPr>
          <w:p w14:paraId="124396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vMerge w:val="restart"/>
            <w:shd w:val="clear" w:color="auto" w:fill="auto"/>
            <w:vAlign w:val="center"/>
          </w:tcPr>
          <w:p w14:paraId="7581BE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46" w:type="pct"/>
            <w:shd w:val="clear" w:color="auto" w:fill="auto"/>
            <w:vAlign w:val="center"/>
          </w:tcPr>
          <w:p w14:paraId="58B79B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7D063EF0">
            <w:pPr>
              <w:rPr>
                <w:rFonts w:hint="eastAsia" w:ascii="等线" w:hAnsi="等线" w:eastAsia="等线" w:cs="等线"/>
                <w:i w:val="0"/>
                <w:iCs w:val="0"/>
                <w:color w:val="000000"/>
                <w:sz w:val="21"/>
                <w:szCs w:val="21"/>
                <w:u w:val="none"/>
              </w:rPr>
            </w:pPr>
          </w:p>
        </w:tc>
      </w:tr>
      <w:tr w14:paraId="0F14F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37" w:type="pct"/>
            <w:vMerge w:val="continue"/>
            <w:shd w:val="clear" w:color="auto" w:fill="auto"/>
            <w:vAlign w:val="center"/>
          </w:tcPr>
          <w:p w14:paraId="05696D9E">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14BCC794">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6335F146">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435112CA">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096E3D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2到达中型多功能运动场地的步行距离不大于500m,得2分。</w:t>
            </w:r>
          </w:p>
        </w:tc>
        <w:tc>
          <w:tcPr>
            <w:tcW w:w="328" w:type="pct"/>
            <w:shd w:val="clear" w:color="auto" w:fill="auto"/>
            <w:vAlign w:val="center"/>
          </w:tcPr>
          <w:p w14:paraId="39A399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vMerge w:val="continue"/>
            <w:shd w:val="clear" w:color="auto" w:fill="auto"/>
            <w:vAlign w:val="center"/>
          </w:tcPr>
          <w:p w14:paraId="750B926D">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42D739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77B1E43E">
            <w:pPr>
              <w:rPr>
                <w:rFonts w:hint="eastAsia" w:ascii="等线" w:hAnsi="等线" w:eastAsia="等线" w:cs="等线"/>
                <w:i w:val="0"/>
                <w:iCs w:val="0"/>
                <w:color w:val="000000"/>
                <w:sz w:val="21"/>
                <w:szCs w:val="21"/>
                <w:u w:val="none"/>
              </w:rPr>
            </w:pPr>
          </w:p>
        </w:tc>
      </w:tr>
      <w:tr w14:paraId="5FCB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trPr>
        <w:tc>
          <w:tcPr>
            <w:tcW w:w="537" w:type="pct"/>
            <w:vMerge w:val="restart"/>
            <w:shd w:val="clear" w:color="auto" w:fill="auto"/>
            <w:vAlign w:val="center"/>
          </w:tcPr>
          <w:p w14:paraId="703188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 生活便利</w:t>
            </w:r>
          </w:p>
        </w:tc>
        <w:tc>
          <w:tcPr>
            <w:tcW w:w="292" w:type="pct"/>
            <w:vMerge w:val="restart"/>
            <w:shd w:val="clear" w:color="auto" w:fill="auto"/>
            <w:vAlign w:val="center"/>
          </w:tcPr>
          <w:p w14:paraId="6AD3D3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7BEBFC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6.2.5</w:t>
            </w:r>
          </w:p>
        </w:tc>
        <w:tc>
          <w:tcPr>
            <w:tcW w:w="578" w:type="pct"/>
            <w:gridSpan w:val="2"/>
            <w:vMerge w:val="restart"/>
            <w:shd w:val="clear" w:color="auto" w:fill="auto"/>
            <w:vAlign w:val="center"/>
          </w:tcPr>
          <w:p w14:paraId="031D87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合理设置健身场地和空间。</w:t>
            </w:r>
          </w:p>
        </w:tc>
        <w:tc>
          <w:tcPr>
            <w:tcW w:w="958" w:type="pct"/>
            <w:shd w:val="clear" w:color="auto" w:fill="auto"/>
            <w:vAlign w:val="center"/>
          </w:tcPr>
          <w:p w14:paraId="6EEB8A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1室外健身场地面积不少于总用地面积的0.5%,得3分；</w:t>
            </w:r>
          </w:p>
        </w:tc>
        <w:tc>
          <w:tcPr>
            <w:tcW w:w="328" w:type="pct"/>
            <w:shd w:val="clear" w:color="auto" w:fill="auto"/>
            <w:vAlign w:val="center"/>
          </w:tcPr>
          <w:p w14:paraId="1267C8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建筑、景观</w:t>
            </w:r>
          </w:p>
        </w:tc>
        <w:tc>
          <w:tcPr>
            <w:tcW w:w="310" w:type="pct"/>
            <w:vMerge w:val="restart"/>
            <w:shd w:val="clear" w:color="auto" w:fill="auto"/>
            <w:vAlign w:val="center"/>
          </w:tcPr>
          <w:p w14:paraId="67BE09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 w:type="pct"/>
            <w:shd w:val="clear" w:color="auto" w:fill="auto"/>
            <w:vAlign w:val="center"/>
          </w:tcPr>
          <w:p w14:paraId="7AD755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3D309218">
            <w:pPr>
              <w:rPr>
                <w:rFonts w:hint="eastAsia" w:ascii="等线" w:hAnsi="等线" w:eastAsia="等线" w:cs="等线"/>
                <w:i w:val="0"/>
                <w:iCs w:val="0"/>
                <w:color w:val="000000"/>
                <w:sz w:val="21"/>
                <w:szCs w:val="21"/>
                <w:u w:val="none"/>
              </w:rPr>
            </w:pPr>
          </w:p>
        </w:tc>
      </w:tr>
      <w:tr w14:paraId="69ED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trPr>
        <w:tc>
          <w:tcPr>
            <w:tcW w:w="537" w:type="pct"/>
            <w:vMerge w:val="continue"/>
            <w:shd w:val="clear" w:color="auto" w:fill="auto"/>
            <w:vAlign w:val="center"/>
          </w:tcPr>
          <w:p w14:paraId="171D3790">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74ADF6DA">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0A84692E">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730F7EF0">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79E250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2设置宽度不少于1.25m的专用健身慢行道，健身慢行道长度不少于用地 红线周长的1/4且不少于100m,得2分；</w:t>
            </w:r>
          </w:p>
        </w:tc>
        <w:tc>
          <w:tcPr>
            <w:tcW w:w="328" w:type="pct"/>
            <w:shd w:val="clear" w:color="auto" w:fill="auto"/>
            <w:vAlign w:val="center"/>
          </w:tcPr>
          <w:p w14:paraId="5B3CDB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建筑、景观</w:t>
            </w:r>
          </w:p>
        </w:tc>
        <w:tc>
          <w:tcPr>
            <w:tcW w:w="310" w:type="pct"/>
            <w:vMerge w:val="continue"/>
            <w:shd w:val="clear" w:color="auto" w:fill="auto"/>
            <w:vAlign w:val="center"/>
          </w:tcPr>
          <w:p w14:paraId="23007C28">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4C2614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2B5FADFE">
            <w:pPr>
              <w:rPr>
                <w:rFonts w:hint="eastAsia" w:ascii="等线" w:hAnsi="等线" w:eastAsia="等线" w:cs="等线"/>
                <w:i w:val="0"/>
                <w:iCs w:val="0"/>
                <w:color w:val="000000"/>
                <w:sz w:val="21"/>
                <w:szCs w:val="21"/>
                <w:u w:val="none"/>
              </w:rPr>
            </w:pPr>
          </w:p>
        </w:tc>
      </w:tr>
      <w:tr w14:paraId="1B5E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537" w:type="pct"/>
            <w:vMerge w:val="continue"/>
            <w:shd w:val="clear" w:color="auto" w:fill="auto"/>
            <w:vAlign w:val="center"/>
          </w:tcPr>
          <w:p w14:paraId="1D2F1F0A">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1CF25AB0">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2EB6CE3B">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206FFE9C">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2EAA9D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3室内健身空间的面积不少于地上建筑面积的0.3%且不少于60m2,得3 分；</w:t>
            </w:r>
          </w:p>
        </w:tc>
        <w:tc>
          <w:tcPr>
            <w:tcW w:w="328" w:type="pct"/>
            <w:shd w:val="clear" w:color="auto" w:fill="auto"/>
            <w:vAlign w:val="center"/>
          </w:tcPr>
          <w:p w14:paraId="49B942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vMerge w:val="continue"/>
            <w:shd w:val="clear" w:color="auto" w:fill="auto"/>
            <w:vAlign w:val="center"/>
          </w:tcPr>
          <w:p w14:paraId="71B45601">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5AA7E7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5C318DF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106D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537" w:type="pct"/>
            <w:vMerge w:val="continue"/>
            <w:shd w:val="clear" w:color="auto" w:fill="auto"/>
            <w:vAlign w:val="center"/>
          </w:tcPr>
          <w:p w14:paraId="051110B5">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65D05B92">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7F2A99E3">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660FCCBF">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73EB58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4楼梯间具有天然采光和良好的视野，且距离主入口的距离不大于15m, 得2分。</w:t>
            </w:r>
          </w:p>
        </w:tc>
        <w:tc>
          <w:tcPr>
            <w:tcW w:w="328" w:type="pct"/>
            <w:shd w:val="clear" w:color="auto" w:fill="auto"/>
            <w:vAlign w:val="center"/>
          </w:tcPr>
          <w:p w14:paraId="28665B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vMerge w:val="continue"/>
            <w:shd w:val="clear" w:color="auto" w:fill="auto"/>
            <w:vAlign w:val="center"/>
          </w:tcPr>
          <w:p w14:paraId="4D30FA36">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31CF7F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5EAFAD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FA2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537" w:type="pct"/>
            <w:shd w:val="clear" w:color="auto" w:fill="auto"/>
            <w:vAlign w:val="center"/>
          </w:tcPr>
          <w:p w14:paraId="7E87A7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 生活便利</w:t>
            </w:r>
          </w:p>
        </w:tc>
        <w:tc>
          <w:tcPr>
            <w:tcW w:w="292" w:type="pct"/>
            <w:shd w:val="clear" w:color="auto" w:fill="auto"/>
            <w:vAlign w:val="center"/>
          </w:tcPr>
          <w:p w14:paraId="560C80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评分项    </w:t>
            </w:r>
          </w:p>
        </w:tc>
        <w:tc>
          <w:tcPr>
            <w:tcW w:w="346" w:type="pct"/>
            <w:shd w:val="clear" w:color="auto" w:fill="auto"/>
            <w:vAlign w:val="center"/>
          </w:tcPr>
          <w:p w14:paraId="73DACD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6.2.6</w:t>
            </w:r>
          </w:p>
        </w:tc>
        <w:tc>
          <w:tcPr>
            <w:tcW w:w="1536" w:type="pct"/>
            <w:gridSpan w:val="3"/>
            <w:shd w:val="clear" w:color="auto" w:fill="auto"/>
            <w:vAlign w:val="center"/>
          </w:tcPr>
          <w:p w14:paraId="57C141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设置分类、分级用能自动远传计量系统，且设置能源管理系统实现对建筑能耗的监测、数据分析和管理。</w:t>
            </w:r>
          </w:p>
        </w:tc>
        <w:tc>
          <w:tcPr>
            <w:tcW w:w="328" w:type="pct"/>
            <w:shd w:val="clear" w:color="auto" w:fill="auto"/>
            <w:vAlign w:val="center"/>
          </w:tcPr>
          <w:p w14:paraId="792462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w:t>
            </w:r>
          </w:p>
        </w:tc>
        <w:tc>
          <w:tcPr>
            <w:tcW w:w="310" w:type="pct"/>
            <w:shd w:val="clear" w:color="auto" w:fill="auto"/>
            <w:vAlign w:val="center"/>
          </w:tcPr>
          <w:p w14:paraId="6A08E8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46" w:type="pct"/>
            <w:shd w:val="clear" w:color="auto" w:fill="auto"/>
            <w:vAlign w:val="center"/>
          </w:tcPr>
          <w:p w14:paraId="0B9AA8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5AD722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91C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37" w:type="pct"/>
            <w:shd w:val="clear" w:color="auto" w:fill="auto"/>
            <w:vAlign w:val="center"/>
          </w:tcPr>
          <w:p w14:paraId="126819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 生活便利</w:t>
            </w:r>
          </w:p>
        </w:tc>
        <w:tc>
          <w:tcPr>
            <w:tcW w:w="292" w:type="pct"/>
            <w:shd w:val="clear" w:color="auto" w:fill="auto"/>
            <w:vAlign w:val="center"/>
          </w:tcPr>
          <w:p w14:paraId="083793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386CEA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6.2.7</w:t>
            </w:r>
          </w:p>
        </w:tc>
        <w:tc>
          <w:tcPr>
            <w:tcW w:w="1536" w:type="pct"/>
            <w:gridSpan w:val="3"/>
            <w:shd w:val="clear" w:color="auto" w:fill="auto"/>
            <w:vAlign w:val="center"/>
          </w:tcPr>
          <w:p w14:paraId="296358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设置PM10、PM2.5、CO2浓度的空气质量监测系统，且具有存储至少一年的监测数据和实时显示等功能。</w:t>
            </w:r>
          </w:p>
        </w:tc>
        <w:tc>
          <w:tcPr>
            <w:tcW w:w="328" w:type="pct"/>
            <w:shd w:val="clear" w:color="auto" w:fill="auto"/>
            <w:vAlign w:val="center"/>
          </w:tcPr>
          <w:p w14:paraId="588171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w:t>
            </w:r>
          </w:p>
        </w:tc>
        <w:tc>
          <w:tcPr>
            <w:tcW w:w="310" w:type="pct"/>
            <w:shd w:val="clear" w:color="auto" w:fill="auto"/>
            <w:vAlign w:val="center"/>
          </w:tcPr>
          <w:p w14:paraId="47055A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46" w:type="pct"/>
            <w:shd w:val="clear" w:color="auto" w:fill="auto"/>
            <w:vAlign w:val="center"/>
          </w:tcPr>
          <w:p w14:paraId="406E57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0CCFBDDD">
            <w:pPr>
              <w:rPr>
                <w:rFonts w:hint="eastAsia" w:ascii="等线" w:hAnsi="等线" w:eastAsia="等线" w:cs="等线"/>
                <w:i w:val="0"/>
                <w:iCs w:val="0"/>
                <w:color w:val="000000"/>
                <w:sz w:val="21"/>
                <w:szCs w:val="21"/>
                <w:u w:val="none"/>
              </w:rPr>
            </w:pPr>
          </w:p>
        </w:tc>
      </w:tr>
      <w:tr w14:paraId="1FD9F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37" w:type="pct"/>
            <w:vMerge w:val="restart"/>
            <w:shd w:val="clear" w:color="auto" w:fill="auto"/>
            <w:vAlign w:val="center"/>
          </w:tcPr>
          <w:p w14:paraId="2D48A1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 生活便利</w:t>
            </w:r>
          </w:p>
        </w:tc>
        <w:tc>
          <w:tcPr>
            <w:tcW w:w="292" w:type="pct"/>
            <w:vMerge w:val="restart"/>
            <w:shd w:val="clear" w:color="auto" w:fill="auto"/>
            <w:vAlign w:val="center"/>
          </w:tcPr>
          <w:p w14:paraId="23FA2B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78D5E2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6.2.8</w:t>
            </w:r>
          </w:p>
        </w:tc>
        <w:tc>
          <w:tcPr>
            <w:tcW w:w="578" w:type="pct"/>
            <w:gridSpan w:val="2"/>
            <w:vMerge w:val="restart"/>
            <w:shd w:val="clear" w:color="auto" w:fill="auto"/>
            <w:vAlign w:val="center"/>
          </w:tcPr>
          <w:p w14:paraId="139AAC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设置用水远传计量系统、水质在线监测系统。</w:t>
            </w:r>
          </w:p>
        </w:tc>
        <w:tc>
          <w:tcPr>
            <w:tcW w:w="958" w:type="pct"/>
            <w:shd w:val="clear" w:color="auto" w:fill="auto"/>
            <w:vAlign w:val="center"/>
          </w:tcPr>
          <w:p w14:paraId="748D27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1设置用水量远传计量系统，能分类、分级记录、统计分析各种用水情况， 得3分；</w:t>
            </w:r>
          </w:p>
        </w:tc>
        <w:tc>
          <w:tcPr>
            <w:tcW w:w="328" w:type="pct"/>
            <w:shd w:val="clear" w:color="auto" w:fill="auto"/>
            <w:vAlign w:val="center"/>
          </w:tcPr>
          <w:p w14:paraId="2D9B76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w:t>
            </w:r>
          </w:p>
        </w:tc>
        <w:tc>
          <w:tcPr>
            <w:tcW w:w="310" w:type="pct"/>
            <w:vMerge w:val="restart"/>
            <w:shd w:val="clear" w:color="auto" w:fill="auto"/>
            <w:vAlign w:val="center"/>
          </w:tcPr>
          <w:p w14:paraId="08A34B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46" w:type="pct"/>
            <w:shd w:val="clear" w:color="auto" w:fill="auto"/>
            <w:vAlign w:val="center"/>
          </w:tcPr>
          <w:p w14:paraId="69A4A8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1519B2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780C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37" w:type="pct"/>
            <w:vMerge w:val="continue"/>
            <w:shd w:val="clear" w:color="auto" w:fill="auto"/>
            <w:vAlign w:val="center"/>
          </w:tcPr>
          <w:p w14:paraId="2CEFE1D7">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0666F936">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38EE6177">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18DEECC1">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3ADFA6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2利用计量数据进行管网漏损自动检测、分析与整改，管道漏损率低于5%, 得2分；</w:t>
            </w:r>
          </w:p>
        </w:tc>
        <w:tc>
          <w:tcPr>
            <w:tcW w:w="328" w:type="pct"/>
            <w:shd w:val="clear" w:color="auto" w:fill="auto"/>
            <w:vAlign w:val="center"/>
          </w:tcPr>
          <w:p w14:paraId="64EEDB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w:t>
            </w:r>
          </w:p>
        </w:tc>
        <w:tc>
          <w:tcPr>
            <w:tcW w:w="310" w:type="pct"/>
            <w:vMerge w:val="continue"/>
            <w:shd w:val="clear" w:color="auto" w:fill="auto"/>
            <w:vAlign w:val="center"/>
          </w:tcPr>
          <w:p w14:paraId="4E1A65A8">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0E4327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6F3FCF4D">
            <w:pPr>
              <w:rPr>
                <w:rFonts w:hint="eastAsia" w:ascii="等线" w:hAnsi="等线" w:eastAsia="等线" w:cs="等线"/>
                <w:i w:val="0"/>
                <w:iCs w:val="0"/>
                <w:color w:val="000000"/>
                <w:sz w:val="21"/>
                <w:szCs w:val="21"/>
                <w:u w:val="none"/>
              </w:rPr>
            </w:pPr>
          </w:p>
        </w:tc>
      </w:tr>
      <w:tr w14:paraId="7737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537" w:type="pct"/>
            <w:vMerge w:val="continue"/>
            <w:shd w:val="clear" w:color="auto" w:fill="auto"/>
            <w:vAlign w:val="center"/>
          </w:tcPr>
          <w:p w14:paraId="552BD702">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4C9001E8">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0E1B7F50">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00422921">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601D0F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3设置水质在线监测系统，监测生活饮用水、管道直饮水、游泳池水、非传统水源、空调冷却水的水质指标，记录并保存水质监测结果，且能随时供用户 查询，得2分。</w:t>
            </w:r>
          </w:p>
        </w:tc>
        <w:tc>
          <w:tcPr>
            <w:tcW w:w="328" w:type="pct"/>
            <w:shd w:val="clear" w:color="auto" w:fill="auto"/>
            <w:vAlign w:val="center"/>
          </w:tcPr>
          <w:p w14:paraId="2D9642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w:t>
            </w:r>
          </w:p>
        </w:tc>
        <w:tc>
          <w:tcPr>
            <w:tcW w:w="310" w:type="pct"/>
            <w:vMerge w:val="continue"/>
            <w:shd w:val="clear" w:color="auto" w:fill="auto"/>
            <w:vAlign w:val="center"/>
          </w:tcPr>
          <w:p w14:paraId="4CC0EFAA">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68D35F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4B52A660">
            <w:pPr>
              <w:rPr>
                <w:rFonts w:hint="eastAsia" w:ascii="等线" w:hAnsi="等线" w:eastAsia="等线" w:cs="等线"/>
                <w:i w:val="0"/>
                <w:iCs w:val="0"/>
                <w:color w:val="000000"/>
                <w:sz w:val="21"/>
                <w:szCs w:val="21"/>
                <w:u w:val="none"/>
              </w:rPr>
            </w:pPr>
          </w:p>
        </w:tc>
      </w:tr>
      <w:tr w14:paraId="30F0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537" w:type="pct"/>
            <w:vMerge w:val="restart"/>
            <w:shd w:val="clear" w:color="auto" w:fill="auto"/>
            <w:vAlign w:val="center"/>
          </w:tcPr>
          <w:p w14:paraId="0280F7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 生活便利</w:t>
            </w:r>
          </w:p>
        </w:tc>
        <w:tc>
          <w:tcPr>
            <w:tcW w:w="292" w:type="pct"/>
            <w:vMerge w:val="restart"/>
            <w:shd w:val="clear" w:color="auto" w:fill="auto"/>
            <w:vAlign w:val="center"/>
          </w:tcPr>
          <w:p w14:paraId="799B30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4AE111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6.2.9</w:t>
            </w:r>
          </w:p>
        </w:tc>
        <w:tc>
          <w:tcPr>
            <w:tcW w:w="578" w:type="pct"/>
            <w:gridSpan w:val="2"/>
            <w:vMerge w:val="restart"/>
            <w:shd w:val="clear" w:color="auto" w:fill="auto"/>
            <w:vAlign w:val="center"/>
          </w:tcPr>
          <w:p w14:paraId="73B01F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具有智能化服务系统。</w:t>
            </w:r>
          </w:p>
        </w:tc>
        <w:tc>
          <w:tcPr>
            <w:tcW w:w="958" w:type="pct"/>
            <w:shd w:val="clear" w:color="auto" w:fill="auto"/>
            <w:vAlign w:val="center"/>
          </w:tcPr>
          <w:p w14:paraId="1E61FD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1具有家电控制、照明控制、安全报警、环境监测、建筑设备控制、工作生活服务等至少3种类型的服务功能，得3分；</w:t>
            </w:r>
          </w:p>
        </w:tc>
        <w:tc>
          <w:tcPr>
            <w:tcW w:w="328" w:type="pct"/>
            <w:shd w:val="clear" w:color="auto" w:fill="auto"/>
            <w:vAlign w:val="center"/>
          </w:tcPr>
          <w:p w14:paraId="5BA704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w:t>
            </w:r>
          </w:p>
        </w:tc>
        <w:tc>
          <w:tcPr>
            <w:tcW w:w="310" w:type="pct"/>
            <w:vMerge w:val="restart"/>
            <w:shd w:val="clear" w:color="auto" w:fill="auto"/>
            <w:vAlign w:val="center"/>
          </w:tcPr>
          <w:p w14:paraId="5291C7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46" w:type="pct"/>
            <w:shd w:val="clear" w:color="auto" w:fill="auto"/>
            <w:vAlign w:val="center"/>
          </w:tcPr>
          <w:p w14:paraId="5B2A09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3EF906E4">
            <w:pPr>
              <w:rPr>
                <w:rFonts w:hint="eastAsia" w:ascii="等线" w:hAnsi="等线" w:eastAsia="等线" w:cs="等线"/>
                <w:i w:val="0"/>
                <w:iCs w:val="0"/>
                <w:color w:val="000000"/>
                <w:sz w:val="21"/>
                <w:szCs w:val="21"/>
                <w:u w:val="none"/>
              </w:rPr>
            </w:pPr>
          </w:p>
        </w:tc>
      </w:tr>
      <w:tr w14:paraId="706B3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37" w:type="pct"/>
            <w:vMerge w:val="continue"/>
            <w:shd w:val="clear" w:color="auto" w:fill="auto"/>
            <w:vAlign w:val="center"/>
          </w:tcPr>
          <w:p w14:paraId="354BE053">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5EECA100">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740E2B3C">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5F8BED9E">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70057C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2具有远程监控的功能，得3分；</w:t>
            </w:r>
          </w:p>
        </w:tc>
        <w:tc>
          <w:tcPr>
            <w:tcW w:w="328" w:type="pct"/>
            <w:shd w:val="clear" w:color="auto" w:fill="auto"/>
            <w:vAlign w:val="center"/>
          </w:tcPr>
          <w:p w14:paraId="62B101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w:t>
            </w:r>
          </w:p>
        </w:tc>
        <w:tc>
          <w:tcPr>
            <w:tcW w:w="310" w:type="pct"/>
            <w:vMerge w:val="continue"/>
            <w:shd w:val="clear" w:color="auto" w:fill="auto"/>
            <w:vAlign w:val="center"/>
          </w:tcPr>
          <w:p w14:paraId="6E04729E">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1E72AD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3F19EA57">
            <w:pPr>
              <w:rPr>
                <w:rFonts w:hint="eastAsia" w:ascii="等线" w:hAnsi="等线" w:eastAsia="等线" w:cs="等线"/>
                <w:i w:val="0"/>
                <w:iCs w:val="0"/>
                <w:color w:val="000000"/>
                <w:sz w:val="21"/>
                <w:szCs w:val="21"/>
                <w:u w:val="none"/>
              </w:rPr>
            </w:pPr>
          </w:p>
        </w:tc>
      </w:tr>
      <w:tr w14:paraId="4C31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37" w:type="pct"/>
            <w:vMerge w:val="continue"/>
            <w:shd w:val="clear" w:color="auto" w:fill="auto"/>
            <w:vAlign w:val="center"/>
          </w:tcPr>
          <w:p w14:paraId="27766648">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5A40BDB3">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5AFE704B">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3735FC6D">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658CBB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3具有接入智慧城市（城区、社区）的功能，得3分。</w:t>
            </w:r>
          </w:p>
        </w:tc>
        <w:tc>
          <w:tcPr>
            <w:tcW w:w="328" w:type="pct"/>
            <w:shd w:val="clear" w:color="auto" w:fill="auto"/>
            <w:vAlign w:val="center"/>
          </w:tcPr>
          <w:p w14:paraId="4463C2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w:t>
            </w:r>
          </w:p>
        </w:tc>
        <w:tc>
          <w:tcPr>
            <w:tcW w:w="310" w:type="pct"/>
            <w:vMerge w:val="continue"/>
            <w:shd w:val="clear" w:color="auto" w:fill="auto"/>
            <w:vAlign w:val="center"/>
          </w:tcPr>
          <w:p w14:paraId="227956C3">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54AF84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05E92231">
            <w:pPr>
              <w:rPr>
                <w:rFonts w:hint="eastAsia" w:ascii="等线" w:hAnsi="等线" w:eastAsia="等线" w:cs="等线"/>
                <w:i w:val="0"/>
                <w:iCs w:val="0"/>
                <w:color w:val="000000"/>
                <w:sz w:val="21"/>
                <w:szCs w:val="21"/>
                <w:u w:val="none"/>
              </w:rPr>
            </w:pPr>
          </w:p>
        </w:tc>
      </w:tr>
      <w:tr w14:paraId="13B4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537" w:type="pct"/>
            <w:shd w:val="clear" w:color="auto" w:fill="auto"/>
            <w:vAlign w:val="center"/>
          </w:tcPr>
          <w:p w14:paraId="10264D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56E954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60A6D7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7.1.1</w:t>
            </w:r>
          </w:p>
        </w:tc>
        <w:tc>
          <w:tcPr>
            <w:tcW w:w="1536" w:type="pct"/>
            <w:gridSpan w:val="3"/>
            <w:shd w:val="clear" w:color="auto" w:fill="auto"/>
            <w:vAlign w:val="center"/>
          </w:tcPr>
          <w:p w14:paraId="10053D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应结合场地自然条件和建筑功能需求，对建筑的体形、平面布局、空间尺度、维护结构等进行节能设计，且应符合国家有关节能设计的要求。</w:t>
            </w:r>
          </w:p>
        </w:tc>
        <w:tc>
          <w:tcPr>
            <w:tcW w:w="328" w:type="pct"/>
            <w:shd w:val="clear" w:color="auto" w:fill="auto"/>
            <w:vAlign w:val="center"/>
          </w:tcPr>
          <w:p w14:paraId="7D46DD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4CEF95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058147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65BEDC6A">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3696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trPr>
        <w:tc>
          <w:tcPr>
            <w:tcW w:w="537" w:type="pct"/>
            <w:shd w:val="clear" w:color="auto" w:fill="auto"/>
            <w:vAlign w:val="center"/>
          </w:tcPr>
          <w:p w14:paraId="0D8B3D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372378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470250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7.1.2</w:t>
            </w:r>
          </w:p>
        </w:tc>
        <w:tc>
          <w:tcPr>
            <w:tcW w:w="1536" w:type="pct"/>
            <w:gridSpan w:val="3"/>
            <w:shd w:val="clear" w:color="auto" w:fill="auto"/>
            <w:vAlign w:val="center"/>
          </w:tcPr>
          <w:p w14:paraId="6135B1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应采取措施降低部分负荷、部分空间使用下的供暖、空调系统能耗，并应符合下列规定：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应区分房间的朝向细分供暖、空调区域，并应对系统进行分区控制；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空调系统的电冷源综合制冷性能系数应符合现行国家标准《公共建筑节能设计标准》GB 50189 的规定。</w:t>
            </w:r>
          </w:p>
        </w:tc>
        <w:tc>
          <w:tcPr>
            <w:tcW w:w="328" w:type="pct"/>
            <w:shd w:val="clear" w:color="auto" w:fill="auto"/>
            <w:vAlign w:val="center"/>
          </w:tcPr>
          <w:p w14:paraId="1905D7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暖通</w:t>
            </w:r>
          </w:p>
        </w:tc>
        <w:tc>
          <w:tcPr>
            <w:tcW w:w="310" w:type="pct"/>
            <w:shd w:val="clear" w:color="auto" w:fill="auto"/>
            <w:vAlign w:val="center"/>
          </w:tcPr>
          <w:p w14:paraId="3F8F4F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379458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60B23D77">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435C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537" w:type="pct"/>
            <w:shd w:val="clear" w:color="auto" w:fill="auto"/>
            <w:vAlign w:val="center"/>
          </w:tcPr>
          <w:p w14:paraId="3B702A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1FA15B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5A2C24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7.1.3</w:t>
            </w:r>
          </w:p>
        </w:tc>
        <w:tc>
          <w:tcPr>
            <w:tcW w:w="1536" w:type="pct"/>
            <w:gridSpan w:val="3"/>
            <w:shd w:val="clear" w:color="auto" w:fill="auto"/>
            <w:vAlign w:val="center"/>
          </w:tcPr>
          <w:p w14:paraId="5B1DF5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应根据建筑空间功能设置分区温度，合理降低室内过渡区空间的温度设定标准。</w:t>
            </w:r>
          </w:p>
        </w:tc>
        <w:tc>
          <w:tcPr>
            <w:tcW w:w="328" w:type="pct"/>
            <w:shd w:val="clear" w:color="auto" w:fill="auto"/>
            <w:vAlign w:val="center"/>
          </w:tcPr>
          <w:p w14:paraId="70A626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暖通</w:t>
            </w:r>
          </w:p>
        </w:tc>
        <w:tc>
          <w:tcPr>
            <w:tcW w:w="310" w:type="pct"/>
            <w:shd w:val="clear" w:color="auto" w:fill="auto"/>
            <w:vAlign w:val="center"/>
          </w:tcPr>
          <w:p w14:paraId="37FAA0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6F7F8F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7248B8F4">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4B3C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trPr>
        <w:tc>
          <w:tcPr>
            <w:tcW w:w="537" w:type="pct"/>
            <w:shd w:val="clear" w:color="auto" w:fill="auto"/>
            <w:vAlign w:val="center"/>
          </w:tcPr>
          <w:p w14:paraId="026480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008B66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7EAF69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7.1.4</w:t>
            </w:r>
          </w:p>
        </w:tc>
        <w:tc>
          <w:tcPr>
            <w:tcW w:w="1536" w:type="pct"/>
            <w:gridSpan w:val="3"/>
            <w:shd w:val="clear" w:color="auto" w:fill="auto"/>
            <w:vAlign w:val="center"/>
          </w:tcPr>
          <w:p w14:paraId="00BDE5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主要功能房间的照明功率密度值不应高于现行国家标准《建筑照明设计标准》GB 50034规定的现行值；公共区域的照明系统应采用分区、定时、感应等节能控制；采光区域的照明控制应独立于其他区域的照明控制。</w:t>
            </w:r>
          </w:p>
        </w:tc>
        <w:tc>
          <w:tcPr>
            <w:tcW w:w="328" w:type="pct"/>
            <w:shd w:val="clear" w:color="auto" w:fill="auto"/>
            <w:vAlign w:val="center"/>
          </w:tcPr>
          <w:p w14:paraId="4FFE27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w:t>
            </w:r>
          </w:p>
        </w:tc>
        <w:tc>
          <w:tcPr>
            <w:tcW w:w="310" w:type="pct"/>
            <w:shd w:val="clear" w:color="auto" w:fill="auto"/>
            <w:vAlign w:val="center"/>
          </w:tcPr>
          <w:p w14:paraId="4E6F3F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674904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7C30D70D">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477D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537" w:type="pct"/>
            <w:shd w:val="clear" w:color="auto" w:fill="auto"/>
            <w:vAlign w:val="center"/>
          </w:tcPr>
          <w:p w14:paraId="4594AB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1FBE23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048097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7.1.5</w:t>
            </w:r>
          </w:p>
        </w:tc>
        <w:tc>
          <w:tcPr>
            <w:tcW w:w="1536" w:type="pct"/>
            <w:gridSpan w:val="3"/>
            <w:shd w:val="clear" w:color="auto" w:fill="auto"/>
            <w:vAlign w:val="center"/>
          </w:tcPr>
          <w:p w14:paraId="4BBFC1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冷热源、输配系统和照明等各部分能耗应进行独立分项计量。</w:t>
            </w:r>
          </w:p>
        </w:tc>
        <w:tc>
          <w:tcPr>
            <w:tcW w:w="328" w:type="pct"/>
            <w:shd w:val="clear" w:color="auto" w:fill="auto"/>
            <w:vAlign w:val="center"/>
          </w:tcPr>
          <w:p w14:paraId="47FC3F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w:t>
            </w:r>
          </w:p>
        </w:tc>
        <w:tc>
          <w:tcPr>
            <w:tcW w:w="310" w:type="pct"/>
            <w:shd w:val="clear" w:color="auto" w:fill="auto"/>
            <w:vAlign w:val="center"/>
          </w:tcPr>
          <w:p w14:paraId="009807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2CD7E3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0D85B676">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57FF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537" w:type="pct"/>
            <w:shd w:val="clear" w:color="auto" w:fill="auto"/>
            <w:vAlign w:val="center"/>
          </w:tcPr>
          <w:p w14:paraId="7E61E4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3210E9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334D20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7.1.6</w:t>
            </w:r>
          </w:p>
        </w:tc>
        <w:tc>
          <w:tcPr>
            <w:tcW w:w="1536" w:type="pct"/>
            <w:gridSpan w:val="3"/>
            <w:shd w:val="clear" w:color="auto" w:fill="auto"/>
            <w:vAlign w:val="center"/>
          </w:tcPr>
          <w:p w14:paraId="073232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垂直电梯应采取群控、变频调速或能量反馈等节能措施；自动扶梯应采用变频感应启动等节能控制措施。</w:t>
            </w:r>
          </w:p>
        </w:tc>
        <w:tc>
          <w:tcPr>
            <w:tcW w:w="328" w:type="pct"/>
            <w:shd w:val="clear" w:color="auto" w:fill="auto"/>
            <w:vAlign w:val="center"/>
          </w:tcPr>
          <w:p w14:paraId="426458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w:t>
            </w:r>
          </w:p>
        </w:tc>
        <w:tc>
          <w:tcPr>
            <w:tcW w:w="310" w:type="pct"/>
            <w:shd w:val="clear" w:color="auto" w:fill="auto"/>
            <w:vAlign w:val="center"/>
          </w:tcPr>
          <w:p w14:paraId="103801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6C627B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446DF1DD">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5CF2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537" w:type="pct"/>
            <w:shd w:val="clear" w:color="auto" w:fill="auto"/>
            <w:vAlign w:val="center"/>
          </w:tcPr>
          <w:p w14:paraId="7FE36B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79E352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5C94C7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7.1.7</w:t>
            </w:r>
          </w:p>
        </w:tc>
        <w:tc>
          <w:tcPr>
            <w:tcW w:w="1536" w:type="pct"/>
            <w:gridSpan w:val="3"/>
            <w:shd w:val="clear" w:color="auto" w:fill="auto"/>
            <w:vAlign w:val="center"/>
          </w:tcPr>
          <w:p w14:paraId="221AC5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应制定水资源利用方案，统筹利用各种水资源，并采取下列措施节约水资源：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按使用用途、付费或管理单元，分别设置用水计量装置；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用水点处水压大于 0.2MPa 的配水支管应设置减压设施，但应满足用水器具最低工作压力的要求；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用水器具和设备应满足现行国家标准《节水型产品技术条件与管理通则》GB/T18870 的要求。</w:t>
            </w:r>
          </w:p>
        </w:tc>
        <w:tc>
          <w:tcPr>
            <w:tcW w:w="328" w:type="pct"/>
            <w:shd w:val="clear" w:color="auto" w:fill="auto"/>
            <w:vAlign w:val="center"/>
          </w:tcPr>
          <w:p w14:paraId="33C026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w:t>
            </w:r>
          </w:p>
        </w:tc>
        <w:tc>
          <w:tcPr>
            <w:tcW w:w="310" w:type="pct"/>
            <w:shd w:val="clear" w:color="auto" w:fill="auto"/>
            <w:vAlign w:val="center"/>
          </w:tcPr>
          <w:p w14:paraId="0B8423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6DF445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52A184B7">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5B71B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537" w:type="pct"/>
            <w:shd w:val="clear" w:color="auto" w:fill="auto"/>
            <w:vAlign w:val="center"/>
          </w:tcPr>
          <w:p w14:paraId="732515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418064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713D07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7.1.8</w:t>
            </w:r>
          </w:p>
        </w:tc>
        <w:tc>
          <w:tcPr>
            <w:tcW w:w="1536" w:type="pct"/>
            <w:gridSpan w:val="3"/>
            <w:shd w:val="clear" w:color="auto" w:fill="auto"/>
            <w:vAlign w:val="center"/>
          </w:tcPr>
          <w:p w14:paraId="437835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不应采用建筑形体和布置严重不规则的建筑结构。</w:t>
            </w:r>
          </w:p>
        </w:tc>
        <w:tc>
          <w:tcPr>
            <w:tcW w:w="328" w:type="pct"/>
            <w:shd w:val="clear" w:color="auto" w:fill="auto"/>
            <w:vAlign w:val="center"/>
          </w:tcPr>
          <w:p w14:paraId="7F1885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w:t>
            </w:r>
          </w:p>
        </w:tc>
        <w:tc>
          <w:tcPr>
            <w:tcW w:w="310" w:type="pct"/>
            <w:shd w:val="clear" w:color="auto" w:fill="auto"/>
            <w:vAlign w:val="center"/>
          </w:tcPr>
          <w:p w14:paraId="54287B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09744C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01BD6028">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6D68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537" w:type="pct"/>
            <w:shd w:val="clear" w:color="auto" w:fill="auto"/>
            <w:vAlign w:val="center"/>
          </w:tcPr>
          <w:p w14:paraId="7D680F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3F868A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4ECD27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7.1.9</w:t>
            </w:r>
          </w:p>
        </w:tc>
        <w:tc>
          <w:tcPr>
            <w:tcW w:w="1536" w:type="pct"/>
            <w:gridSpan w:val="3"/>
            <w:shd w:val="clear" w:color="auto" w:fill="auto"/>
            <w:vAlign w:val="center"/>
          </w:tcPr>
          <w:p w14:paraId="2DA6EA6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建筑造型要素应简约，且无大量装饰性构件。</w:t>
            </w:r>
          </w:p>
        </w:tc>
        <w:tc>
          <w:tcPr>
            <w:tcW w:w="328" w:type="pct"/>
            <w:shd w:val="clear" w:color="auto" w:fill="auto"/>
            <w:vAlign w:val="center"/>
          </w:tcPr>
          <w:p w14:paraId="3E85A5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w:t>
            </w:r>
          </w:p>
        </w:tc>
        <w:tc>
          <w:tcPr>
            <w:tcW w:w="310" w:type="pct"/>
            <w:shd w:val="clear" w:color="auto" w:fill="auto"/>
            <w:vAlign w:val="center"/>
          </w:tcPr>
          <w:p w14:paraId="1D2607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2D471D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1272FFCC">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7D56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537" w:type="pct"/>
            <w:shd w:val="clear" w:color="auto" w:fill="auto"/>
            <w:vAlign w:val="center"/>
          </w:tcPr>
          <w:p w14:paraId="7A3CBC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16D460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778966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7.1.10</w:t>
            </w:r>
          </w:p>
        </w:tc>
        <w:tc>
          <w:tcPr>
            <w:tcW w:w="1536" w:type="pct"/>
            <w:gridSpan w:val="3"/>
            <w:shd w:val="clear" w:color="auto" w:fill="auto"/>
            <w:vAlign w:val="center"/>
          </w:tcPr>
          <w:p w14:paraId="17D5D4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500km以内生产的建筑材料重量占建筑材料总重量的比例应大于60%；现浇混凝土应采用预拌混凝土，建筑砂浆应采用预拌砂浆。</w:t>
            </w:r>
          </w:p>
        </w:tc>
        <w:tc>
          <w:tcPr>
            <w:tcW w:w="328" w:type="pct"/>
            <w:shd w:val="clear" w:color="auto" w:fill="auto"/>
            <w:vAlign w:val="center"/>
          </w:tcPr>
          <w:p w14:paraId="1D028A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结构、成本</w:t>
            </w:r>
          </w:p>
        </w:tc>
        <w:tc>
          <w:tcPr>
            <w:tcW w:w="310" w:type="pct"/>
            <w:shd w:val="clear" w:color="auto" w:fill="auto"/>
            <w:vAlign w:val="center"/>
          </w:tcPr>
          <w:p w14:paraId="3DB948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3695FB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7176C8D9">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62C27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537" w:type="pct"/>
            <w:shd w:val="clear" w:color="auto" w:fill="auto"/>
            <w:vAlign w:val="center"/>
          </w:tcPr>
          <w:p w14:paraId="1636C5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30443C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2494C5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7.1.11</w:t>
            </w:r>
          </w:p>
        </w:tc>
        <w:tc>
          <w:tcPr>
            <w:tcW w:w="1536" w:type="pct"/>
            <w:gridSpan w:val="3"/>
            <w:shd w:val="clear" w:color="auto" w:fill="auto"/>
            <w:vAlign w:val="center"/>
          </w:tcPr>
          <w:p w14:paraId="0B4F67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资源节约相关技术要求应符合现行强制性工程建设规范《建筑节能与可再生能源利用通用规范》GB55015、《建筑给水排水与节水通用规范》GB 55020等的规定。</w:t>
            </w:r>
          </w:p>
        </w:tc>
        <w:tc>
          <w:tcPr>
            <w:tcW w:w="328" w:type="pct"/>
            <w:shd w:val="clear" w:color="auto" w:fill="auto"/>
            <w:vAlign w:val="center"/>
          </w:tcPr>
          <w:p w14:paraId="75DCA7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全专业</w:t>
            </w:r>
          </w:p>
        </w:tc>
        <w:tc>
          <w:tcPr>
            <w:tcW w:w="310" w:type="pct"/>
            <w:shd w:val="clear" w:color="auto" w:fill="auto"/>
            <w:vAlign w:val="center"/>
          </w:tcPr>
          <w:p w14:paraId="07D7EA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03BF80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717C8402">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3701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trPr>
        <w:tc>
          <w:tcPr>
            <w:tcW w:w="537" w:type="pct"/>
            <w:shd w:val="clear" w:color="auto" w:fill="auto"/>
            <w:vAlign w:val="center"/>
          </w:tcPr>
          <w:p w14:paraId="1FF07B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2A8F83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4D1A41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7.2.1</w:t>
            </w:r>
          </w:p>
        </w:tc>
        <w:tc>
          <w:tcPr>
            <w:tcW w:w="1536" w:type="pct"/>
            <w:gridSpan w:val="3"/>
            <w:shd w:val="clear" w:color="auto" w:fill="auto"/>
            <w:vAlign w:val="center"/>
          </w:tcPr>
          <w:p w14:paraId="5505E2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节约集约利用土地。评价总分值为20分</w:t>
            </w:r>
          </w:p>
        </w:tc>
        <w:tc>
          <w:tcPr>
            <w:tcW w:w="328" w:type="pct"/>
            <w:shd w:val="clear" w:color="auto" w:fill="auto"/>
            <w:vAlign w:val="center"/>
          </w:tcPr>
          <w:p w14:paraId="4C70D7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5EF323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46" w:type="pct"/>
            <w:shd w:val="clear" w:color="auto" w:fill="auto"/>
            <w:vAlign w:val="center"/>
          </w:tcPr>
          <w:p w14:paraId="764D44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701C080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23B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537" w:type="pct"/>
            <w:shd w:val="clear" w:color="auto" w:fill="auto"/>
            <w:vAlign w:val="center"/>
          </w:tcPr>
          <w:p w14:paraId="1891BF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77674B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0B5903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7.2.2</w:t>
            </w:r>
          </w:p>
        </w:tc>
        <w:tc>
          <w:tcPr>
            <w:tcW w:w="1536" w:type="pct"/>
            <w:gridSpan w:val="3"/>
            <w:shd w:val="clear" w:color="auto" w:fill="auto"/>
            <w:vAlign w:val="center"/>
          </w:tcPr>
          <w:p w14:paraId="13CACA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合理开发利用地下空间。评价总分值为12分</w:t>
            </w:r>
          </w:p>
        </w:tc>
        <w:tc>
          <w:tcPr>
            <w:tcW w:w="328" w:type="pct"/>
            <w:shd w:val="clear" w:color="auto" w:fill="auto"/>
            <w:vAlign w:val="center"/>
          </w:tcPr>
          <w:p w14:paraId="39B9A6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3D888F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46" w:type="pct"/>
            <w:shd w:val="clear" w:color="auto" w:fill="auto"/>
            <w:vAlign w:val="center"/>
          </w:tcPr>
          <w:p w14:paraId="52D1CF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17D781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4D6B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537" w:type="pct"/>
            <w:shd w:val="clear" w:color="auto" w:fill="auto"/>
            <w:vAlign w:val="center"/>
          </w:tcPr>
          <w:p w14:paraId="770663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40AD00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716D6B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7.2.3</w:t>
            </w:r>
          </w:p>
        </w:tc>
        <w:tc>
          <w:tcPr>
            <w:tcW w:w="1536" w:type="pct"/>
            <w:gridSpan w:val="3"/>
            <w:shd w:val="clear" w:color="auto" w:fill="auto"/>
            <w:vAlign w:val="center"/>
          </w:tcPr>
          <w:p w14:paraId="51BDFD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采用机械式停车设施、地下停车库或地面停车楼等方式。1住宅建筑地面停车位数量与住宅总套数的比率小于10%,得8分。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2公共建筑地面停车占地面积与其总建设用地面积的比率小于8%,得8分。</w:t>
            </w:r>
          </w:p>
        </w:tc>
        <w:tc>
          <w:tcPr>
            <w:tcW w:w="328" w:type="pct"/>
            <w:shd w:val="clear" w:color="auto" w:fill="auto"/>
            <w:vAlign w:val="center"/>
          </w:tcPr>
          <w:p w14:paraId="329C72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5DCE43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46" w:type="pct"/>
            <w:shd w:val="clear" w:color="auto" w:fill="auto"/>
            <w:vAlign w:val="center"/>
          </w:tcPr>
          <w:p w14:paraId="79DC43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7762221F">
            <w:pPr>
              <w:jc w:val="center"/>
              <w:rPr>
                <w:rFonts w:hint="eastAsia" w:ascii="宋体" w:hAnsi="宋体" w:eastAsia="宋体" w:cs="宋体"/>
                <w:i w:val="0"/>
                <w:iCs w:val="0"/>
                <w:color w:val="000000"/>
                <w:sz w:val="21"/>
                <w:szCs w:val="21"/>
                <w:u w:val="none"/>
              </w:rPr>
            </w:pPr>
          </w:p>
        </w:tc>
      </w:tr>
      <w:tr w14:paraId="04CDC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trPr>
        <w:tc>
          <w:tcPr>
            <w:tcW w:w="537" w:type="pct"/>
            <w:shd w:val="clear" w:color="auto" w:fill="auto"/>
            <w:vAlign w:val="center"/>
          </w:tcPr>
          <w:p w14:paraId="7CC7FC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6206F7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评分项    </w:t>
            </w:r>
          </w:p>
        </w:tc>
        <w:tc>
          <w:tcPr>
            <w:tcW w:w="346" w:type="pct"/>
            <w:shd w:val="clear" w:color="auto" w:fill="auto"/>
            <w:vAlign w:val="center"/>
          </w:tcPr>
          <w:p w14:paraId="7191BD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7.2.4</w:t>
            </w:r>
          </w:p>
        </w:tc>
        <w:tc>
          <w:tcPr>
            <w:tcW w:w="1536" w:type="pct"/>
            <w:gridSpan w:val="3"/>
            <w:shd w:val="clear" w:color="auto" w:fill="auto"/>
            <w:vAlign w:val="center"/>
          </w:tcPr>
          <w:p w14:paraId="008F6F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优化建筑围护结构的热工性能。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围护结构热工性能比现行强制性工程建设规范《建筑节能与可再生能源利用通用规范》GB 55015的规定提高5%，得5分；每再提高1%，再得1分，最高得10分。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建筑供暖空调负荷降低3%，得5分；每再降低1%，再得1分，最高得10分。</w:t>
            </w:r>
          </w:p>
        </w:tc>
        <w:tc>
          <w:tcPr>
            <w:tcW w:w="328" w:type="pct"/>
            <w:shd w:val="clear" w:color="auto" w:fill="auto"/>
            <w:vAlign w:val="center"/>
          </w:tcPr>
          <w:p w14:paraId="6D02FE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建筑、物理</w:t>
            </w:r>
          </w:p>
        </w:tc>
        <w:tc>
          <w:tcPr>
            <w:tcW w:w="310" w:type="pct"/>
            <w:shd w:val="clear" w:color="auto" w:fill="auto"/>
            <w:vAlign w:val="center"/>
          </w:tcPr>
          <w:p w14:paraId="6E1A7E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 w:type="pct"/>
            <w:shd w:val="clear" w:color="auto" w:fill="auto"/>
            <w:vAlign w:val="center"/>
          </w:tcPr>
          <w:p w14:paraId="49CEE8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352AC1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5947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537" w:type="pct"/>
            <w:shd w:val="clear" w:color="auto" w:fill="auto"/>
            <w:vAlign w:val="center"/>
          </w:tcPr>
          <w:p w14:paraId="7A0528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345DE9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14DA5A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7.2.5</w:t>
            </w:r>
          </w:p>
        </w:tc>
        <w:tc>
          <w:tcPr>
            <w:tcW w:w="1536" w:type="pct"/>
            <w:gridSpan w:val="3"/>
            <w:shd w:val="clear" w:color="auto" w:fill="auto"/>
            <w:vAlign w:val="center"/>
          </w:tcPr>
          <w:p w14:paraId="0668D2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供暖空调系统的冷、热源机组能效均优于现行强制性工程建设规范《建筑节能与可再生能源利用通用规范》GB 55015 的规定以及现行有关国家标准能效限定值的要求</w:t>
            </w:r>
          </w:p>
        </w:tc>
        <w:tc>
          <w:tcPr>
            <w:tcW w:w="328" w:type="pct"/>
            <w:shd w:val="clear" w:color="auto" w:fill="auto"/>
            <w:vAlign w:val="center"/>
          </w:tcPr>
          <w:p w14:paraId="44CC2F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暖通</w:t>
            </w:r>
          </w:p>
        </w:tc>
        <w:tc>
          <w:tcPr>
            <w:tcW w:w="310" w:type="pct"/>
            <w:shd w:val="clear" w:color="auto" w:fill="auto"/>
            <w:vAlign w:val="center"/>
          </w:tcPr>
          <w:p w14:paraId="5BAA9A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 w:type="pct"/>
            <w:shd w:val="clear" w:color="auto" w:fill="auto"/>
            <w:vAlign w:val="center"/>
          </w:tcPr>
          <w:p w14:paraId="37CFBA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67348EF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20B1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537" w:type="pct"/>
            <w:vMerge w:val="restart"/>
            <w:shd w:val="clear" w:color="auto" w:fill="auto"/>
            <w:vAlign w:val="center"/>
          </w:tcPr>
          <w:p w14:paraId="0D75C7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vMerge w:val="restart"/>
            <w:shd w:val="clear" w:color="auto" w:fill="auto"/>
            <w:vAlign w:val="center"/>
          </w:tcPr>
          <w:p w14:paraId="43B362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6A1CD5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7.2.6</w:t>
            </w:r>
          </w:p>
        </w:tc>
        <w:tc>
          <w:tcPr>
            <w:tcW w:w="578" w:type="pct"/>
            <w:gridSpan w:val="2"/>
            <w:vMerge w:val="restart"/>
            <w:shd w:val="clear" w:color="auto" w:fill="auto"/>
            <w:vAlign w:val="center"/>
          </w:tcPr>
          <w:p w14:paraId="092426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采取有效措施降低供暖空调系统的末端系统及输配系统的能耗。</w:t>
            </w:r>
          </w:p>
        </w:tc>
        <w:tc>
          <w:tcPr>
            <w:tcW w:w="958" w:type="pct"/>
            <w:shd w:val="clear" w:color="auto" w:fill="auto"/>
            <w:vAlign w:val="center"/>
          </w:tcPr>
          <w:p w14:paraId="76670E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1通风空调系统风机的单位风量耗功率比现行国家标准《公共建筑节能设计标准》GB 50189的规定低20%,得2分；</w:t>
            </w:r>
          </w:p>
        </w:tc>
        <w:tc>
          <w:tcPr>
            <w:tcW w:w="328" w:type="pct"/>
            <w:shd w:val="clear" w:color="auto" w:fill="auto"/>
            <w:vAlign w:val="center"/>
          </w:tcPr>
          <w:p w14:paraId="27391B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暖通</w:t>
            </w:r>
          </w:p>
        </w:tc>
        <w:tc>
          <w:tcPr>
            <w:tcW w:w="310" w:type="pct"/>
            <w:vMerge w:val="restart"/>
            <w:shd w:val="clear" w:color="auto" w:fill="auto"/>
            <w:vAlign w:val="center"/>
          </w:tcPr>
          <w:p w14:paraId="5F736F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46" w:type="pct"/>
            <w:shd w:val="clear" w:color="auto" w:fill="auto"/>
            <w:vAlign w:val="center"/>
          </w:tcPr>
          <w:p w14:paraId="6D42CB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467E9E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50A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537" w:type="pct"/>
            <w:vMerge w:val="continue"/>
            <w:shd w:val="clear" w:color="auto" w:fill="auto"/>
            <w:vAlign w:val="center"/>
          </w:tcPr>
          <w:p w14:paraId="4EE31703">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172B892C">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54AF52B6">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55D8060A">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604E34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2集中供暖系统热水循环泵的耗电输热比、空调冷热水系统循环水泵的耗电 输冷（热）比比现行国家标准《民用建筑供暖通风与空气调节设计规范》GB 50736 规定值低20%,得3分。</w:t>
            </w:r>
          </w:p>
        </w:tc>
        <w:tc>
          <w:tcPr>
            <w:tcW w:w="328" w:type="pct"/>
            <w:shd w:val="clear" w:color="auto" w:fill="auto"/>
            <w:vAlign w:val="center"/>
          </w:tcPr>
          <w:p w14:paraId="1296E0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暖通</w:t>
            </w:r>
          </w:p>
        </w:tc>
        <w:tc>
          <w:tcPr>
            <w:tcW w:w="310" w:type="pct"/>
            <w:vMerge w:val="continue"/>
            <w:shd w:val="clear" w:color="auto" w:fill="auto"/>
            <w:vAlign w:val="center"/>
          </w:tcPr>
          <w:p w14:paraId="7444E047">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378F60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5A03E5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A5C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537" w:type="pct"/>
            <w:vMerge w:val="restart"/>
            <w:shd w:val="clear" w:color="auto" w:fill="auto"/>
            <w:vAlign w:val="center"/>
          </w:tcPr>
          <w:p w14:paraId="333DA4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vMerge w:val="restart"/>
            <w:shd w:val="clear" w:color="auto" w:fill="auto"/>
            <w:vAlign w:val="center"/>
          </w:tcPr>
          <w:p w14:paraId="1F2000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0EC007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7.2.7</w:t>
            </w:r>
          </w:p>
        </w:tc>
        <w:tc>
          <w:tcPr>
            <w:tcW w:w="578" w:type="pct"/>
            <w:gridSpan w:val="2"/>
            <w:vMerge w:val="restart"/>
            <w:shd w:val="clear" w:color="auto" w:fill="auto"/>
            <w:vAlign w:val="center"/>
          </w:tcPr>
          <w:p w14:paraId="2E8822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采用节能型电气设备及节能控制措施。</w:t>
            </w:r>
          </w:p>
        </w:tc>
        <w:tc>
          <w:tcPr>
            <w:tcW w:w="958" w:type="pct"/>
            <w:shd w:val="clear" w:color="auto" w:fill="auto"/>
            <w:vAlign w:val="center"/>
          </w:tcPr>
          <w:p w14:paraId="2355BA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1主要功能房间的照明功率密度值达到现行国家标准《建筑照明设计标准》 GB/T 50034规定的目标值，得5分；</w:t>
            </w:r>
          </w:p>
        </w:tc>
        <w:tc>
          <w:tcPr>
            <w:tcW w:w="328" w:type="pct"/>
            <w:shd w:val="clear" w:color="auto" w:fill="auto"/>
            <w:vAlign w:val="center"/>
          </w:tcPr>
          <w:p w14:paraId="569C62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w:t>
            </w:r>
          </w:p>
        </w:tc>
        <w:tc>
          <w:tcPr>
            <w:tcW w:w="310" w:type="pct"/>
            <w:vMerge w:val="restart"/>
            <w:shd w:val="clear" w:color="auto" w:fill="auto"/>
            <w:vAlign w:val="center"/>
          </w:tcPr>
          <w:p w14:paraId="22FCF4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 w:type="pct"/>
            <w:shd w:val="clear" w:color="auto" w:fill="auto"/>
            <w:vAlign w:val="center"/>
          </w:tcPr>
          <w:p w14:paraId="57E780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21F1130A">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02E2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37" w:type="pct"/>
            <w:vMerge w:val="continue"/>
            <w:shd w:val="clear" w:color="auto" w:fill="auto"/>
            <w:vAlign w:val="center"/>
          </w:tcPr>
          <w:p w14:paraId="3C95518C">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211A1465">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4BEEE688">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4E538014">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38F585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2釆光区域的人工照明随天然光照度变化自动调节，得2分；</w:t>
            </w:r>
          </w:p>
        </w:tc>
        <w:tc>
          <w:tcPr>
            <w:tcW w:w="328" w:type="pct"/>
            <w:shd w:val="clear" w:color="auto" w:fill="auto"/>
            <w:vAlign w:val="center"/>
          </w:tcPr>
          <w:p w14:paraId="10B008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w:t>
            </w:r>
          </w:p>
        </w:tc>
        <w:tc>
          <w:tcPr>
            <w:tcW w:w="310" w:type="pct"/>
            <w:vMerge w:val="continue"/>
            <w:shd w:val="clear" w:color="auto" w:fill="auto"/>
            <w:vAlign w:val="center"/>
          </w:tcPr>
          <w:p w14:paraId="18CB58F1">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04B17F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18D327F3">
            <w:pPr>
              <w:rPr>
                <w:rFonts w:hint="eastAsia" w:ascii="等线" w:hAnsi="等线" w:eastAsia="等线" w:cs="等线"/>
                <w:i w:val="0"/>
                <w:iCs w:val="0"/>
                <w:color w:val="000000"/>
                <w:sz w:val="21"/>
                <w:szCs w:val="21"/>
                <w:u w:val="none"/>
              </w:rPr>
            </w:pPr>
          </w:p>
        </w:tc>
      </w:tr>
      <w:tr w14:paraId="15D2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0" w:hRule="atLeast"/>
        </w:trPr>
        <w:tc>
          <w:tcPr>
            <w:tcW w:w="537" w:type="pct"/>
            <w:vMerge w:val="continue"/>
            <w:shd w:val="clear" w:color="auto" w:fill="auto"/>
            <w:vAlign w:val="center"/>
          </w:tcPr>
          <w:p w14:paraId="72811B45">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749192CA">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52D335E6">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3EB7F418">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5DEAF0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3照明产品、电力变压器、水泵、风机等设备满足国家现行有关标准的能效等级2级要求，得3分。</w:t>
            </w:r>
          </w:p>
        </w:tc>
        <w:tc>
          <w:tcPr>
            <w:tcW w:w="328" w:type="pct"/>
            <w:shd w:val="clear" w:color="auto" w:fill="auto"/>
            <w:vAlign w:val="center"/>
          </w:tcPr>
          <w:p w14:paraId="7428F6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w:t>
            </w:r>
          </w:p>
        </w:tc>
        <w:tc>
          <w:tcPr>
            <w:tcW w:w="310" w:type="pct"/>
            <w:vMerge w:val="continue"/>
            <w:shd w:val="clear" w:color="auto" w:fill="auto"/>
            <w:vAlign w:val="center"/>
          </w:tcPr>
          <w:p w14:paraId="008BE08A">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62AB04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6F2D76FE">
            <w:pPr>
              <w:rPr>
                <w:rFonts w:hint="eastAsia" w:ascii="等线" w:hAnsi="等线" w:eastAsia="等线" w:cs="等线"/>
                <w:i w:val="0"/>
                <w:iCs w:val="0"/>
                <w:color w:val="000000"/>
                <w:sz w:val="21"/>
                <w:szCs w:val="21"/>
                <w:u w:val="none"/>
              </w:rPr>
            </w:pPr>
          </w:p>
        </w:tc>
      </w:tr>
      <w:tr w14:paraId="415A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537" w:type="pct"/>
            <w:shd w:val="clear" w:color="auto" w:fill="auto"/>
            <w:vAlign w:val="center"/>
          </w:tcPr>
          <w:p w14:paraId="11A9DF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5351BB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169310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7.2.8</w:t>
            </w:r>
          </w:p>
        </w:tc>
        <w:tc>
          <w:tcPr>
            <w:tcW w:w="1536" w:type="pct"/>
            <w:gridSpan w:val="3"/>
            <w:shd w:val="clear" w:color="auto" w:fill="auto"/>
            <w:vAlign w:val="center"/>
          </w:tcPr>
          <w:p w14:paraId="0F4957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采取措施降低建筑能耗。釆取措施降低建筑能耗，评价总分值为10分。建筑能耗相比国家现行有 关建筑节能标准降低10%,得5分；降低20%,得10分。</w:t>
            </w:r>
          </w:p>
        </w:tc>
        <w:tc>
          <w:tcPr>
            <w:tcW w:w="328" w:type="pct"/>
            <w:shd w:val="clear" w:color="auto" w:fill="auto"/>
            <w:vAlign w:val="center"/>
          </w:tcPr>
          <w:p w14:paraId="572698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建筑物理</w:t>
            </w:r>
          </w:p>
        </w:tc>
        <w:tc>
          <w:tcPr>
            <w:tcW w:w="310" w:type="pct"/>
            <w:shd w:val="clear" w:color="auto" w:fill="auto"/>
            <w:vAlign w:val="center"/>
          </w:tcPr>
          <w:p w14:paraId="37F116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 w:type="pct"/>
            <w:shd w:val="clear" w:color="auto" w:fill="auto"/>
            <w:vAlign w:val="center"/>
          </w:tcPr>
          <w:p w14:paraId="06E9BF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138B67E0">
            <w:pPr>
              <w:rPr>
                <w:rFonts w:hint="eastAsia" w:ascii="等线" w:hAnsi="等线" w:eastAsia="等线" w:cs="等线"/>
                <w:i w:val="0"/>
                <w:iCs w:val="0"/>
                <w:color w:val="000000"/>
                <w:sz w:val="21"/>
                <w:szCs w:val="21"/>
                <w:u w:val="none"/>
              </w:rPr>
            </w:pPr>
          </w:p>
        </w:tc>
      </w:tr>
      <w:tr w14:paraId="073B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30" w:hRule="atLeast"/>
        </w:trPr>
        <w:tc>
          <w:tcPr>
            <w:tcW w:w="537" w:type="pct"/>
            <w:shd w:val="clear" w:color="auto" w:fill="auto"/>
            <w:vAlign w:val="center"/>
          </w:tcPr>
          <w:p w14:paraId="1542E4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2D27F5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评分项 </w:t>
            </w:r>
          </w:p>
        </w:tc>
        <w:tc>
          <w:tcPr>
            <w:tcW w:w="346" w:type="pct"/>
            <w:shd w:val="clear" w:color="auto" w:fill="auto"/>
            <w:vAlign w:val="center"/>
          </w:tcPr>
          <w:p w14:paraId="1747AA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7.2.9</w:t>
            </w:r>
          </w:p>
        </w:tc>
        <w:tc>
          <w:tcPr>
            <w:tcW w:w="1536" w:type="pct"/>
            <w:gridSpan w:val="3"/>
            <w:shd w:val="clear" w:color="auto" w:fill="auto"/>
            <w:vAlign w:val="center"/>
          </w:tcPr>
          <w:p w14:paraId="738CD4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结合当地气候和自然资源条件合理利用可再生能源，可再生能源利用率达到10%，得15分；可再生能源利用率不足10%时，按线性内插法计算得分。</w:t>
            </w:r>
          </w:p>
        </w:tc>
        <w:tc>
          <w:tcPr>
            <w:tcW w:w="328" w:type="pct"/>
            <w:shd w:val="clear" w:color="auto" w:fill="auto"/>
            <w:vAlign w:val="center"/>
          </w:tcPr>
          <w:p w14:paraId="420939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电气、给排水</w:t>
            </w:r>
          </w:p>
        </w:tc>
        <w:tc>
          <w:tcPr>
            <w:tcW w:w="310" w:type="pct"/>
            <w:shd w:val="clear" w:color="auto" w:fill="auto"/>
            <w:vAlign w:val="center"/>
          </w:tcPr>
          <w:p w14:paraId="260A9B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246" w:type="pct"/>
            <w:shd w:val="clear" w:color="auto" w:fill="auto"/>
            <w:vAlign w:val="center"/>
          </w:tcPr>
          <w:p w14:paraId="74CF4E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38A501E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06F4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75" w:hRule="atLeast"/>
        </w:trPr>
        <w:tc>
          <w:tcPr>
            <w:tcW w:w="537" w:type="pct"/>
            <w:vMerge w:val="restart"/>
            <w:shd w:val="clear" w:color="auto" w:fill="auto"/>
            <w:vAlign w:val="center"/>
          </w:tcPr>
          <w:p w14:paraId="075377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vMerge w:val="restart"/>
            <w:shd w:val="clear" w:color="auto" w:fill="auto"/>
            <w:vAlign w:val="center"/>
          </w:tcPr>
          <w:p w14:paraId="558976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评分项   </w:t>
            </w:r>
          </w:p>
        </w:tc>
        <w:tc>
          <w:tcPr>
            <w:tcW w:w="346" w:type="pct"/>
            <w:vMerge w:val="restart"/>
            <w:shd w:val="clear" w:color="auto" w:fill="auto"/>
            <w:vAlign w:val="center"/>
          </w:tcPr>
          <w:p w14:paraId="0548EB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7.2.10</w:t>
            </w:r>
          </w:p>
        </w:tc>
        <w:tc>
          <w:tcPr>
            <w:tcW w:w="578" w:type="pct"/>
            <w:gridSpan w:val="2"/>
            <w:vMerge w:val="restart"/>
            <w:shd w:val="clear" w:color="auto" w:fill="auto"/>
            <w:vAlign w:val="center"/>
          </w:tcPr>
          <w:p w14:paraId="5B5A59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使用较高用水效率等级的卫生器具。</w:t>
            </w:r>
          </w:p>
        </w:tc>
        <w:tc>
          <w:tcPr>
            <w:tcW w:w="958" w:type="pct"/>
            <w:shd w:val="clear" w:color="auto" w:fill="auto"/>
            <w:vAlign w:val="center"/>
          </w:tcPr>
          <w:p w14:paraId="64C0B6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1全部卫生器具的用水效率等级达到2级，得8分；</w:t>
            </w:r>
          </w:p>
        </w:tc>
        <w:tc>
          <w:tcPr>
            <w:tcW w:w="328" w:type="pct"/>
            <w:vMerge w:val="restart"/>
            <w:shd w:val="clear" w:color="auto" w:fill="auto"/>
            <w:vAlign w:val="center"/>
          </w:tcPr>
          <w:p w14:paraId="080A36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w:t>
            </w:r>
          </w:p>
        </w:tc>
        <w:tc>
          <w:tcPr>
            <w:tcW w:w="310" w:type="pct"/>
            <w:vMerge w:val="restart"/>
            <w:shd w:val="clear" w:color="auto" w:fill="auto"/>
            <w:vAlign w:val="center"/>
          </w:tcPr>
          <w:p w14:paraId="1BED4C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246" w:type="pct"/>
            <w:shd w:val="clear" w:color="auto" w:fill="auto"/>
            <w:vAlign w:val="center"/>
          </w:tcPr>
          <w:p w14:paraId="0C66EF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08F78C86">
            <w:pPr>
              <w:rPr>
                <w:rFonts w:hint="eastAsia" w:ascii="等线" w:hAnsi="等线" w:eastAsia="等线" w:cs="等线"/>
                <w:i w:val="0"/>
                <w:iCs w:val="0"/>
                <w:color w:val="000000"/>
                <w:sz w:val="21"/>
                <w:szCs w:val="21"/>
                <w:u w:val="none"/>
              </w:rPr>
            </w:pPr>
          </w:p>
        </w:tc>
      </w:tr>
      <w:tr w14:paraId="2C8B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37" w:type="pct"/>
            <w:vMerge w:val="continue"/>
            <w:shd w:val="clear" w:color="auto" w:fill="auto"/>
            <w:vAlign w:val="center"/>
          </w:tcPr>
          <w:p w14:paraId="29341BB5">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0E75811A">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01BF5BE2">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5630ECA5">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33DDED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 50%以上卫生器具的用水效率等级达到1级且其他达到2级，得12分;</w:t>
            </w:r>
          </w:p>
        </w:tc>
        <w:tc>
          <w:tcPr>
            <w:tcW w:w="328" w:type="pct"/>
            <w:vMerge w:val="continue"/>
            <w:shd w:val="clear" w:color="auto" w:fill="auto"/>
            <w:vAlign w:val="center"/>
          </w:tcPr>
          <w:p w14:paraId="1F070396">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1C2648E3">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6F03EFB4">
            <w:pPr>
              <w:jc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3A7B0F6A">
            <w:pPr>
              <w:rPr>
                <w:rFonts w:hint="eastAsia" w:ascii="等线" w:hAnsi="等线" w:eastAsia="等线" w:cs="等线"/>
                <w:i w:val="0"/>
                <w:iCs w:val="0"/>
                <w:color w:val="000000"/>
                <w:sz w:val="21"/>
                <w:szCs w:val="21"/>
                <w:u w:val="none"/>
              </w:rPr>
            </w:pPr>
          </w:p>
        </w:tc>
      </w:tr>
      <w:tr w14:paraId="4D1C3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37" w:type="pct"/>
            <w:vMerge w:val="continue"/>
            <w:shd w:val="clear" w:color="auto" w:fill="auto"/>
            <w:vAlign w:val="center"/>
          </w:tcPr>
          <w:p w14:paraId="794F8C8E">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708C4A87">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539A2327">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2BBCBB5D">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0F0F0B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3全部卫生器具的用水效率等级达到1级，得15分。</w:t>
            </w:r>
          </w:p>
        </w:tc>
        <w:tc>
          <w:tcPr>
            <w:tcW w:w="328" w:type="pct"/>
            <w:vMerge w:val="continue"/>
            <w:shd w:val="clear" w:color="auto" w:fill="auto"/>
            <w:vAlign w:val="center"/>
          </w:tcPr>
          <w:p w14:paraId="22E4B8FC">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0F08D035">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693DB8A8">
            <w:pPr>
              <w:jc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2C30FE3B">
            <w:pPr>
              <w:rPr>
                <w:rFonts w:hint="eastAsia" w:ascii="等线" w:hAnsi="等线" w:eastAsia="等线" w:cs="等线"/>
                <w:i w:val="0"/>
                <w:iCs w:val="0"/>
                <w:color w:val="000000"/>
                <w:sz w:val="21"/>
                <w:szCs w:val="21"/>
                <w:u w:val="none"/>
              </w:rPr>
            </w:pPr>
          </w:p>
        </w:tc>
      </w:tr>
      <w:tr w14:paraId="69EA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37" w:type="pct"/>
            <w:vMerge w:val="restart"/>
            <w:shd w:val="clear" w:color="auto" w:fill="auto"/>
            <w:vAlign w:val="center"/>
          </w:tcPr>
          <w:p w14:paraId="38815D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vMerge w:val="restart"/>
            <w:shd w:val="clear" w:color="auto" w:fill="auto"/>
            <w:vAlign w:val="center"/>
          </w:tcPr>
          <w:p w14:paraId="43518E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3E7414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7.2.11</w:t>
            </w:r>
          </w:p>
        </w:tc>
        <w:tc>
          <w:tcPr>
            <w:tcW w:w="328" w:type="pct"/>
            <w:vMerge w:val="restart"/>
            <w:shd w:val="clear" w:color="auto" w:fill="auto"/>
            <w:vAlign w:val="center"/>
          </w:tcPr>
          <w:p w14:paraId="15D8DF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绿化灌溉及空调冷却水系统采用节水设备或技术。</w:t>
            </w:r>
          </w:p>
        </w:tc>
        <w:tc>
          <w:tcPr>
            <w:tcW w:w="249" w:type="pct"/>
            <w:vMerge w:val="restart"/>
            <w:shd w:val="clear" w:color="auto" w:fill="auto"/>
            <w:vAlign w:val="center"/>
          </w:tcPr>
          <w:p w14:paraId="164354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1.绿化灌溉在节水灌溉的基础上采用节水技术，并按下列规则评分：</w:t>
            </w:r>
          </w:p>
        </w:tc>
        <w:tc>
          <w:tcPr>
            <w:tcW w:w="958" w:type="pct"/>
            <w:shd w:val="clear" w:color="auto" w:fill="auto"/>
            <w:vAlign w:val="center"/>
          </w:tcPr>
          <w:p w14:paraId="2508A8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1）设置土壤湿度感应器、雨天自动关闭装置，得6分。</w:t>
            </w:r>
          </w:p>
        </w:tc>
        <w:tc>
          <w:tcPr>
            <w:tcW w:w="328" w:type="pct"/>
            <w:shd w:val="clear" w:color="auto" w:fill="auto"/>
            <w:vAlign w:val="center"/>
          </w:tcPr>
          <w:p w14:paraId="6D94B7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给排水、景观</w:t>
            </w:r>
          </w:p>
        </w:tc>
        <w:tc>
          <w:tcPr>
            <w:tcW w:w="310" w:type="pct"/>
            <w:vMerge w:val="restart"/>
            <w:shd w:val="clear" w:color="auto" w:fill="auto"/>
            <w:vAlign w:val="center"/>
          </w:tcPr>
          <w:p w14:paraId="63AEA8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46" w:type="pct"/>
            <w:shd w:val="clear" w:color="auto" w:fill="auto"/>
            <w:vAlign w:val="center"/>
          </w:tcPr>
          <w:p w14:paraId="659220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710B8C65">
            <w:pPr>
              <w:rPr>
                <w:rFonts w:hint="eastAsia" w:ascii="等线" w:hAnsi="等线" w:eastAsia="等线" w:cs="等线"/>
                <w:i w:val="0"/>
                <w:iCs w:val="0"/>
                <w:color w:val="000000"/>
                <w:sz w:val="21"/>
                <w:szCs w:val="21"/>
                <w:u w:val="none"/>
              </w:rPr>
            </w:pPr>
          </w:p>
        </w:tc>
      </w:tr>
      <w:tr w14:paraId="54111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537" w:type="pct"/>
            <w:vMerge w:val="continue"/>
            <w:shd w:val="clear" w:color="auto" w:fill="auto"/>
            <w:vAlign w:val="center"/>
          </w:tcPr>
          <w:p w14:paraId="7951E170">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344A97F0">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6F1EC372">
            <w:pPr>
              <w:jc w:val="center"/>
              <w:rPr>
                <w:rFonts w:hint="eastAsia" w:ascii="宋体" w:hAnsi="宋体" w:eastAsia="宋体" w:cs="宋体"/>
                <w:i w:val="0"/>
                <w:iCs w:val="0"/>
                <w:color w:val="000000"/>
                <w:sz w:val="21"/>
                <w:szCs w:val="21"/>
                <w:u w:val="none"/>
              </w:rPr>
            </w:pPr>
          </w:p>
        </w:tc>
        <w:tc>
          <w:tcPr>
            <w:tcW w:w="328" w:type="pct"/>
            <w:vMerge w:val="continue"/>
            <w:shd w:val="clear" w:color="auto" w:fill="auto"/>
            <w:vAlign w:val="center"/>
          </w:tcPr>
          <w:p w14:paraId="6A4C3894">
            <w:pPr>
              <w:jc w:val="center"/>
              <w:rPr>
                <w:rFonts w:hint="eastAsia" w:ascii="宋体" w:hAnsi="宋体" w:eastAsia="宋体" w:cs="宋体"/>
                <w:i w:val="0"/>
                <w:iCs w:val="0"/>
                <w:color w:val="000000"/>
                <w:sz w:val="21"/>
                <w:szCs w:val="21"/>
                <w:u w:val="none"/>
              </w:rPr>
            </w:pPr>
          </w:p>
        </w:tc>
        <w:tc>
          <w:tcPr>
            <w:tcW w:w="249" w:type="pct"/>
            <w:vMerge w:val="continue"/>
            <w:shd w:val="clear" w:color="auto" w:fill="auto"/>
            <w:vAlign w:val="center"/>
          </w:tcPr>
          <w:p w14:paraId="501BD966">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3FDD8F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 50%以上的绿地种植无须永久灌溉植物，且不设永久灌溉设施，得6分。</w:t>
            </w:r>
          </w:p>
        </w:tc>
        <w:tc>
          <w:tcPr>
            <w:tcW w:w="328" w:type="pct"/>
            <w:shd w:val="clear" w:color="auto" w:fill="auto"/>
            <w:vAlign w:val="center"/>
          </w:tcPr>
          <w:p w14:paraId="3860D9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给排水、景观</w:t>
            </w:r>
          </w:p>
        </w:tc>
        <w:tc>
          <w:tcPr>
            <w:tcW w:w="310" w:type="pct"/>
            <w:vMerge w:val="continue"/>
            <w:shd w:val="clear" w:color="auto" w:fill="auto"/>
            <w:vAlign w:val="center"/>
          </w:tcPr>
          <w:p w14:paraId="02F44F65">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613161DF">
            <w:pPr>
              <w:jc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4837B043">
            <w:pPr>
              <w:rPr>
                <w:rFonts w:hint="eastAsia" w:ascii="等线" w:hAnsi="等线" w:eastAsia="等线" w:cs="等线"/>
                <w:i w:val="0"/>
                <w:iCs w:val="0"/>
                <w:color w:val="000000"/>
                <w:sz w:val="21"/>
                <w:szCs w:val="21"/>
                <w:u w:val="none"/>
              </w:rPr>
            </w:pPr>
          </w:p>
        </w:tc>
      </w:tr>
      <w:tr w14:paraId="43B8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537" w:type="pct"/>
            <w:vMerge w:val="continue"/>
            <w:shd w:val="clear" w:color="auto" w:fill="auto"/>
            <w:vAlign w:val="center"/>
          </w:tcPr>
          <w:p w14:paraId="18F3606D">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60F94D9B">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168C0CB2">
            <w:pPr>
              <w:jc w:val="center"/>
              <w:rPr>
                <w:rFonts w:hint="eastAsia" w:ascii="宋体" w:hAnsi="宋体" w:eastAsia="宋体" w:cs="宋体"/>
                <w:i w:val="0"/>
                <w:iCs w:val="0"/>
                <w:color w:val="000000"/>
                <w:sz w:val="21"/>
                <w:szCs w:val="21"/>
                <w:u w:val="none"/>
              </w:rPr>
            </w:pPr>
          </w:p>
        </w:tc>
        <w:tc>
          <w:tcPr>
            <w:tcW w:w="328" w:type="pct"/>
            <w:vMerge w:val="continue"/>
            <w:shd w:val="clear" w:color="auto" w:fill="auto"/>
            <w:vAlign w:val="center"/>
          </w:tcPr>
          <w:p w14:paraId="3BD9CF9E">
            <w:pPr>
              <w:jc w:val="center"/>
              <w:rPr>
                <w:rFonts w:hint="eastAsia" w:ascii="宋体" w:hAnsi="宋体" w:eastAsia="宋体" w:cs="宋体"/>
                <w:i w:val="0"/>
                <w:iCs w:val="0"/>
                <w:color w:val="000000"/>
                <w:sz w:val="21"/>
                <w:szCs w:val="21"/>
                <w:u w:val="none"/>
              </w:rPr>
            </w:pPr>
          </w:p>
        </w:tc>
        <w:tc>
          <w:tcPr>
            <w:tcW w:w="249" w:type="pct"/>
            <w:vMerge w:val="restart"/>
            <w:shd w:val="clear" w:color="auto" w:fill="auto"/>
            <w:vAlign w:val="center"/>
          </w:tcPr>
          <w:p w14:paraId="398C60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2空调冷却水系统釆用节水设备或技术，并按下列规则评分：</w:t>
            </w:r>
          </w:p>
        </w:tc>
        <w:tc>
          <w:tcPr>
            <w:tcW w:w="958" w:type="pct"/>
            <w:shd w:val="clear" w:color="auto" w:fill="auto"/>
            <w:vAlign w:val="center"/>
          </w:tcPr>
          <w:p w14:paraId="75FB93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循环冷却水系统釆取设置水处理措施、加大集水盘、设置平衡管或平 衡水箱等方式，避免冷却水泵停泵时冷却水溢出，得3分。</w:t>
            </w:r>
          </w:p>
        </w:tc>
        <w:tc>
          <w:tcPr>
            <w:tcW w:w="328" w:type="pct"/>
            <w:shd w:val="clear" w:color="auto" w:fill="auto"/>
            <w:vAlign w:val="center"/>
          </w:tcPr>
          <w:p w14:paraId="28F3A4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w:t>
            </w:r>
          </w:p>
        </w:tc>
        <w:tc>
          <w:tcPr>
            <w:tcW w:w="310" w:type="pct"/>
            <w:vMerge w:val="continue"/>
            <w:shd w:val="clear" w:color="auto" w:fill="auto"/>
            <w:vAlign w:val="center"/>
          </w:tcPr>
          <w:p w14:paraId="3DF37632">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09C301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48033B86">
            <w:pPr>
              <w:rPr>
                <w:rFonts w:hint="eastAsia" w:ascii="等线" w:hAnsi="等线" w:eastAsia="等线" w:cs="等线"/>
                <w:i w:val="0"/>
                <w:iCs w:val="0"/>
                <w:color w:val="000000"/>
                <w:sz w:val="21"/>
                <w:szCs w:val="21"/>
                <w:u w:val="none"/>
              </w:rPr>
            </w:pPr>
          </w:p>
        </w:tc>
      </w:tr>
      <w:tr w14:paraId="074E9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37" w:type="pct"/>
            <w:vMerge w:val="continue"/>
            <w:shd w:val="clear" w:color="auto" w:fill="auto"/>
            <w:vAlign w:val="center"/>
          </w:tcPr>
          <w:p w14:paraId="308BB6E8">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16338BB1">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6761E558">
            <w:pPr>
              <w:jc w:val="center"/>
              <w:rPr>
                <w:rFonts w:hint="eastAsia" w:ascii="宋体" w:hAnsi="宋体" w:eastAsia="宋体" w:cs="宋体"/>
                <w:i w:val="0"/>
                <w:iCs w:val="0"/>
                <w:color w:val="000000"/>
                <w:sz w:val="21"/>
                <w:szCs w:val="21"/>
                <w:u w:val="none"/>
              </w:rPr>
            </w:pPr>
          </w:p>
        </w:tc>
        <w:tc>
          <w:tcPr>
            <w:tcW w:w="328" w:type="pct"/>
            <w:vMerge w:val="continue"/>
            <w:shd w:val="clear" w:color="auto" w:fill="auto"/>
            <w:vAlign w:val="center"/>
          </w:tcPr>
          <w:p w14:paraId="532A21C2">
            <w:pPr>
              <w:jc w:val="center"/>
              <w:rPr>
                <w:rFonts w:hint="eastAsia" w:ascii="宋体" w:hAnsi="宋体" w:eastAsia="宋体" w:cs="宋体"/>
                <w:i w:val="0"/>
                <w:iCs w:val="0"/>
                <w:color w:val="000000"/>
                <w:sz w:val="21"/>
                <w:szCs w:val="21"/>
                <w:u w:val="none"/>
              </w:rPr>
            </w:pPr>
          </w:p>
        </w:tc>
        <w:tc>
          <w:tcPr>
            <w:tcW w:w="249" w:type="pct"/>
            <w:vMerge w:val="continue"/>
            <w:shd w:val="clear" w:color="auto" w:fill="auto"/>
            <w:vAlign w:val="center"/>
          </w:tcPr>
          <w:p w14:paraId="1F8FE973">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2BB6D8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 釆用无蒸发耗水量的冷却技术，得6分。</w:t>
            </w:r>
          </w:p>
        </w:tc>
        <w:tc>
          <w:tcPr>
            <w:tcW w:w="328" w:type="pct"/>
            <w:shd w:val="clear" w:color="auto" w:fill="auto"/>
            <w:vAlign w:val="center"/>
          </w:tcPr>
          <w:p w14:paraId="79D6F1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w:t>
            </w:r>
          </w:p>
        </w:tc>
        <w:tc>
          <w:tcPr>
            <w:tcW w:w="310" w:type="pct"/>
            <w:vMerge w:val="continue"/>
            <w:shd w:val="clear" w:color="auto" w:fill="auto"/>
            <w:vAlign w:val="center"/>
          </w:tcPr>
          <w:p w14:paraId="0C6CCD2A">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1FEAF7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34477777">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4E612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2" w:hRule="atLeast"/>
        </w:trPr>
        <w:tc>
          <w:tcPr>
            <w:tcW w:w="537" w:type="pct"/>
            <w:vMerge w:val="restart"/>
            <w:shd w:val="clear" w:color="auto" w:fill="auto"/>
            <w:vAlign w:val="center"/>
          </w:tcPr>
          <w:p w14:paraId="7A30B1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vMerge w:val="restart"/>
            <w:shd w:val="clear" w:color="auto" w:fill="auto"/>
            <w:vAlign w:val="center"/>
          </w:tcPr>
          <w:p w14:paraId="1B88DD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194186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7.2.12</w:t>
            </w:r>
          </w:p>
        </w:tc>
        <w:tc>
          <w:tcPr>
            <w:tcW w:w="578" w:type="pct"/>
            <w:gridSpan w:val="2"/>
            <w:vMerge w:val="restart"/>
            <w:shd w:val="clear" w:color="auto" w:fill="auto"/>
            <w:vAlign w:val="center"/>
          </w:tcPr>
          <w:p w14:paraId="766F7B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结合雨水综合利用设施营造室外景观水体，室外景观水体利用雨水的补水量大于水体蒸发量的60%，且采用保障水体水质的生态水处理技术。</w:t>
            </w:r>
          </w:p>
        </w:tc>
        <w:tc>
          <w:tcPr>
            <w:tcW w:w="958" w:type="pct"/>
            <w:shd w:val="clear" w:color="auto" w:fill="auto"/>
            <w:vAlign w:val="center"/>
          </w:tcPr>
          <w:p w14:paraId="30D05E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1对进入室外景观水体的雨水，利用生态设施削减径流污染，得4分；</w:t>
            </w:r>
          </w:p>
        </w:tc>
        <w:tc>
          <w:tcPr>
            <w:tcW w:w="328" w:type="pct"/>
            <w:shd w:val="clear" w:color="auto" w:fill="auto"/>
            <w:vAlign w:val="center"/>
          </w:tcPr>
          <w:p w14:paraId="3FA4F7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给排水、景观</w:t>
            </w:r>
          </w:p>
        </w:tc>
        <w:tc>
          <w:tcPr>
            <w:tcW w:w="310" w:type="pct"/>
            <w:vMerge w:val="restart"/>
            <w:shd w:val="clear" w:color="auto" w:fill="auto"/>
            <w:vAlign w:val="center"/>
          </w:tcPr>
          <w:p w14:paraId="2FD4A2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46" w:type="pct"/>
            <w:shd w:val="clear" w:color="auto" w:fill="auto"/>
            <w:vAlign w:val="center"/>
          </w:tcPr>
          <w:p w14:paraId="077698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1CBC4D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2F576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0" w:hRule="atLeast"/>
        </w:trPr>
        <w:tc>
          <w:tcPr>
            <w:tcW w:w="537" w:type="pct"/>
            <w:vMerge w:val="continue"/>
            <w:shd w:val="clear" w:color="auto" w:fill="auto"/>
            <w:vAlign w:val="center"/>
          </w:tcPr>
          <w:p w14:paraId="0EDC95C1">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182450F5">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6907EA6E">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635F2BB1">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063F5D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2利用水生动、植物保障室外景观水体水质，得4分。</w:t>
            </w:r>
          </w:p>
        </w:tc>
        <w:tc>
          <w:tcPr>
            <w:tcW w:w="328" w:type="pct"/>
            <w:shd w:val="clear" w:color="auto" w:fill="auto"/>
            <w:vAlign w:val="center"/>
          </w:tcPr>
          <w:p w14:paraId="7A7855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给排水、景观</w:t>
            </w:r>
          </w:p>
        </w:tc>
        <w:tc>
          <w:tcPr>
            <w:tcW w:w="310" w:type="pct"/>
            <w:vMerge w:val="continue"/>
            <w:shd w:val="clear" w:color="auto" w:fill="auto"/>
            <w:vAlign w:val="center"/>
          </w:tcPr>
          <w:p w14:paraId="53CF38DD">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752A2E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49225F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E3F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37" w:type="pct"/>
            <w:vMerge w:val="restart"/>
            <w:shd w:val="clear" w:color="auto" w:fill="auto"/>
            <w:vAlign w:val="center"/>
          </w:tcPr>
          <w:p w14:paraId="749D0F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vMerge w:val="restart"/>
            <w:shd w:val="clear" w:color="auto" w:fill="auto"/>
            <w:vAlign w:val="center"/>
          </w:tcPr>
          <w:p w14:paraId="7E8998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1BE2D4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7.2.13</w:t>
            </w:r>
          </w:p>
        </w:tc>
        <w:tc>
          <w:tcPr>
            <w:tcW w:w="578" w:type="pct"/>
            <w:gridSpan w:val="2"/>
            <w:vMerge w:val="restart"/>
            <w:shd w:val="clear" w:color="auto" w:fill="auto"/>
            <w:vAlign w:val="center"/>
          </w:tcPr>
          <w:p w14:paraId="512430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使用非传统水源。</w:t>
            </w:r>
          </w:p>
        </w:tc>
        <w:tc>
          <w:tcPr>
            <w:tcW w:w="958" w:type="pct"/>
            <w:shd w:val="clear" w:color="auto" w:fill="auto"/>
            <w:vAlign w:val="center"/>
          </w:tcPr>
          <w:p w14:paraId="389D3B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1绿化灌溉、车库及道路冲洗、洗车用水釆用非传统水源的用水量占其总用水量的比例不低于40%,得3分；不低于60%,得5分；</w:t>
            </w:r>
          </w:p>
        </w:tc>
        <w:tc>
          <w:tcPr>
            <w:tcW w:w="328" w:type="pct"/>
            <w:shd w:val="clear" w:color="auto" w:fill="auto"/>
            <w:vAlign w:val="center"/>
          </w:tcPr>
          <w:p w14:paraId="2258D3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给排水、海绵</w:t>
            </w:r>
          </w:p>
        </w:tc>
        <w:tc>
          <w:tcPr>
            <w:tcW w:w="310" w:type="pct"/>
            <w:vMerge w:val="restart"/>
            <w:shd w:val="clear" w:color="auto" w:fill="auto"/>
            <w:vAlign w:val="center"/>
          </w:tcPr>
          <w:p w14:paraId="7FD10E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246" w:type="pct"/>
            <w:shd w:val="clear" w:color="auto" w:fill="auto"/>
            <w:vAlign w:val="center"/>
          </w:tcPr>
          <w:p w14:paraId="17C24D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149BE9DF">
            <w:pPr>
              <w:rPr>
                <w:rFonts w:hint="eastAsia" w:ascii="宋体" w:hAnsi="宋体" w:eastAsia="宋体" w:cs="宋体"/>
                <w:i w:val="0"/>
                <w:iCs w:val="0"/>
                <w:color w:val="000000"/>
                <w:sz w:val="21"/>
                <w:szCs w:val="21"/>
                <w:u w:val="none"/>
              </w:rPr>
            </w:pPr>
          </w:p>
        </w:tc>
      </w:tr>
      <w:tr w14:paraId="1F3FD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537" w:type="pct"/>
            <w:vMerge w:val="continue"/>
            <w:shd w:val="clear" w:color="auto" w:fill="auto"/>
            <w:vAlign w:val="center"/>
          </w:tcPr>
          <w:p w14:paraId="2563E1EC">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16983A23">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213EBE4F">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6B5E31EB">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2F7470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2冲厕釆用非传统水源的用水量占其总用水量的比例不低于30%,得3分; 不低于50%,得5分；</w:t>
            </w:r>
          </w:p>
        </w:tc>
        <w:tc>
          <w:tcPr>
            <w:tcW w:w="328" w:type="pct"/>
            <w:shd w:val="clear" w:color="auto" w:fill="auto"/>
            <w:vAlign w:val="center"/>
          </w:tcPr>
          <w:p w14:paraId="0B35E6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给排水、海绵</w:t>
            </w:r>
          </w:p>
        </w:tc>
        <w:tc>
          <w:tcPr>
            <w:tcW w:w="310" w:type="pct"/>
            <w:vMerge w:val="continue"/>
            <w:shd w:val="clear" w:color="auto" w:fill="auto"/>
            <w:vAlign w:val="center"/>
          </w:tcPr>
          <w:p w14:paraId="3C1DB05B">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064586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16A7FBB0">
            <w:pPr>
              <w:rPr>
                <w:rFonts w:hint="eastAsia" w:ascii="等线" w:hAnsi="等线" w:eastAsia="等线" w:cs="等线"/>
                <w:i w:val="0"/>
                <w:iCs w:val="0"/>
                <w:color w:val="000000"/>
                <w:sz w:val="21"/>
                <w:szCs w:val="21"/>
                <w:u w:val="none"/>
              </w:rPr>
            </w:pPr>
          </w:p>
        </w:tc>
      </w:tr>
      <w:tr w14:paraId="2EBD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537" w:type="pct"/>
            <w:vMerge w:val="continue"/>
            <w:shd w:val="clear" w:color="auto" w:fill="auto"/>
            <w:vAlign w:val="center"/>
          </w:tcPr>
          <w:p w14:paraId="431E00FA">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295C6C11">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6952E6FD">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123B7BE2">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24CC0A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3冷却水补水采用非传统水源的用水量占其总用水量的比例不低于20%, 得3分；不低于40%,得5分。</w:t>
            </w:r>
          </w:p>
        </w:tc>
        <w:tc>
          <w:tcPr>
            <w:tcW w:w="328" w:type="pct"/>
            <w:shd w:val="clear" w:color="auto" w:fill="auto"/>
            <w:vAlign w:val="center"/>
          </w:tcPr>
          <w:p w14:paraId="4530A9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给排水、暖通</w:t>
            </w:r>
          </w:p>
        </w:tc>
        <w:tc>
          <w:tcPr>
            <w:tcW w:w="310" w:type="pct"/>
            <w:vMerge w:val="continue"/>
            <w:shd w:val="clear" w:color="auto" w:fill="auto"/>
            <w:vAlign w:val="center"/>
          </w:tcPr>
          <w:p w14:paraId="71E688A5">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121457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014CAA2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606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37" w:type="pct"/>
            <w:shd w:val="clear" w:color="auto" w:fill="auto"/>
            <w:vAlign w:val="center"/>
          </w:tcPr>
          <w:p w14:paraId="40B31E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36FC67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38227D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7.2.14</w:t>
            </w:r>
          </w:p>
        </w:tc>
        <w:tc>
          <w:tcPr>
            <w:tcW w:w="1536" w:type="pct"/>
            <w:gridSpan w:val="3"/>
            <w:shd w:val="clear" w:color="auto" w:fill="auto"/>
            <w:vAlign w:val="center"/>
          </w:tcPr>
          <w:p w14:paraId="32F5A94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建筑所有区域实施土建工程与装修工程一体化设计及施工，评价分值为 8分。</w:t>
            </w:r>
          </w:p>
        </w:tc>
        <w:tc>
          <w:tcPr>
            <w:tcW w:w="328" w:type="pct"/>
            <w:shd w:val="clear" w:color="auto" w:fill="auto"/>
            <w:vAlign w:val="center"/>
          </w:tcPr>
          <w:p w14:paraId="1FAFA6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008741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46" w:type="pct"/>
            <w:shd w:val="clear" w:color="auto" w:fill="auto"/>
            <w:vAlign w:val="center"/>
          </w:tcPr>
          <w:p w14:paraId="21A3E9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39852BA5">
            <w:pPr>
              <w:rPr>
                <w:rFonts w:hint="eastAsia" w:ascii="等线" w:hAnsi="等线" w:eastAsia="等线" w:cs="等线"/>
                <w:i w:val="0"/>
                <w:iCs w:val="0"/>
                <w:color w:val="000000"/>
                <w:sz w:val="21"/>
                <w:szCs w:val="21"/>
                <w:u w:val="none"/>
              </w:rPr>
            </w:pPr>
          </w:p>
        </w:tc>
      </w:tr>
      <w:tr w14:paraId="22538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37" w:type="pct"/>
            <w:vMerge w:val="restart"/>
            <w:shd w:val="clear" w:color="auto" w:fill="auto"/>
            <w:vAlign w:val="center"/>
          </w:tcPr>
          <w:p w14:paraId="0C7EA9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vMerge w:val="restart"/>
            <w:shd w:val="clear" w:color="auto" w:fill="auto"/>
            <w:vAlign w:val="center"/>
          </w:tcPr>
          <w:p w14:paraId="5A13E6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5DD646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7.2.15</w:t>
            </w:r>
          </w:p>
        </w:tc>
        <w:tc>
          <w:tcPr>
            <w:tcW w:w="328" w:type="pct"/>
            <w:vMerge w:val="restart"/>
            <w:shd w:val="clear" w:color="auto" w:fill="auto"/>
            <w:vAlign w:val="center"/>
          </w:tcPr>
          <w:p w14:paraId="332140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合理选用建筑结构材料与构件。</w:t>
            </w:r>
          </w:p>
        </w:tc>
        <w:tc>
          <w:tcPr>
            <w:tcW w:w="249" w:type="pct"/>
            <w:vMerge w:val="restart"/>
            <w:shd w:val="clear" w:color="auto" w:fill="auto"/>
            <w:vAlign w:val="center"/>
          </w:tcPr>
          <w:p w14:paraId="229CC7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1混凝土结构，按下列规则分别评分并累计</w:t>
            </w:r>
          </w:p>
        </w:tc>
        <w:tc>
          <w:tcPr>
            <w:tcW w:w="958" w:type="pct"/>
            <w:shd w:val="clear" w:color="auto" w:fill="auto"/>
            <w:vAlign w:val="center"/>
          </w:tcPr>
          <w:p w14:paraId="2662F1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400MPa级及以上强度等级钢筋应用比例达到85%,得5分；</w:t>
            </w:r>
          </w:p>
        </w:tc>
        <w:tc>
          <w:tcPr>
            <w:tcW w:w="328" w:type="pct"/>
            <w:vMerge w:val="restart"/>
            <w:shd w:val="clear" w:color="auto" w:fill="auto"/>
            <w:vAlign w:val="center"/>
          </w:tcPr>
          <w:p w14:paraId="37BC90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w:t>
            </w:r>
          </w:p>
        </w:tc>
        <w:tc>
          <w:tcPr>
            <w:tcW w:w="310" w:type="pct"/>
            <w:vMerge w:val="restart"/>
            <w:shd w:val="clear" w:color="auto" w:fill="auto"/>
            <w:vAlign w:val="center"/>
          </w:tcPr>
          <w:p w14:paraId="5745D4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 w:type="pct"/>
            <w:shd w:val="clear" w:color="auto" w:fill="auto"/>
            <w:vAlign w:val="center"/>
          </w:tcPr>
          <w:p w14:paraId="7FB7B5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05F02C0A">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4732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trPr>
        <w:tc>
          <w:tcPr>
            <w:tcW w:w="537" w:type="pct"/>
            <w:vMerge w:val="continue"/>
            <w:shd w:val="clear" w:color="auto" w:fill="auto"/>
            <w:vAlign w:val="center"/>
          </w:tcPr>
          <w:p w14:paraId="08EFEBCF">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658FBA08">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447A4145">
            <w:pPr>
              <w:jc w:val="center"/>
              <w:rPr>
                <w:rFonts w:hint="eastAsia" w:ascii="宋体" w:hAnsi="宋体" w:eastAsia="宋体" w:cs="宋体"/>
                <w:i w:val="0"/>
                <w:iCs w:val="0"/>
                <w:color w:val="000000"/>
                <w:sz w:val="21"/>
                <w:szCs w:val="21"/>
                <w:u w:val="none"/>
              </w:rPr>
            </w:pPr>
          </w:p>
        </w:tc>
        <w:tc>
          <w:tcPr>
            <w:tcW w:w="328" w:type="pct"/>
            <w:vMerge w:val="continue"/>
            <w:shd w:val="clear" w:color="auto" w:fill="auto"/>
            <w:vAlign w:val="center"/>
          </w:tcPr>
          <w:p w14:paraId="7460D01B">
            <w:pPr>
              <w:jc w:val="center"/>
              <w:rPr>
                <w:rFonts w:hint="eastAsia" w:ascii="宋体" w:hAnsi="宋体" w:eastAsia="宋体" w:cs="宋体"/>
                <w:i w:val="0"/>
                <w:iCs w:val="0"/>
                <w:color w:val="000000"/>
                <w:sz w:val="21"/>
                <w:szCs w:val="21"/>
                <w:u w:val="none"/>
              </w:rPr>
            </w:pPr>
          </w:p>
        </w:tc>
        <w:tc>
          <w:tcPr>
            <w:tcW w:w="249" w:type="pct"/>
            <w:vMerge w:val="continue"/>
            <w:shd w:val="clear" w:color="auto" w:fill="auto"/>
            <w:vAlign w:val="center"/>
          </w:tcPr>
          <w:p w14:paraId="187CAD74">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1C9E3F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 混凝土竖向承重结构釆用强度等级不小于C50混凝土用量占竖向承重 结构中混凝土总量的比例达到50%,得5分。</w:t>
            </w:r>
          </w:p>
        </w:tc>
        <w:tc>
          <w:tcPr>
            <w:tcW w:w="328" w:type="pct"/>
            <w:vMerge w:val="continue"/>
            <w:shd w:val="clear" w:color="auto" w:fill="auto"/>
            <w:vAlign w:val="center"/>
          </w:tcPr>
          <w:p w14:paraId="3F59845A">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2EF61975">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7F6AA6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05322823">
            <w:pPr>
              <w:rPr>
                <w:rFonts w:hint="eastAsia" w:ascii="等线" w:hAnsi="等线" w:eastAsia="等线" w:cs="等线"/>
                <w:i w:val="0"/>
                <w:iCs w:val="0"/>
                <w:color w:val="000000"/>
                <w:sz w:val="21"/>
                <w:szCs w:val="21"/>
                <w:u w:val="none"/>
              </w:rPr>
            </w:pPr>
          </w:p>
        </w:tc>
      </w:tr>
      <w:tr w14:paraId="6634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0" w:hRule="atLeast"/>
        </w:trPr>
        <w:tc>
          <w:tcPr>
            <w:tcW w:w="537" w:type="pct"/>
            <w:vMerge w:val="continue"/>
            <w:shd w:val="clear" w:color="auto" w:fill="auto"/>
            <w:vAlign w:val="center"/>
          </w:tcPr>
          <w:p w14:paraId="2BB320B7">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0A6CC03C">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6C4EAF47">
            <w:pPr>
              <w:jc w:val="center"/>
              <w:rPr>
                <w:rFonts w:hint="eastAsia" w:ascii="宋体" w:hAnsi="宋体" w:eastAsia="宋体" w:cs="宋体"/>
                <w:i w:val="0"/>
                <w:iCs w:val="0"/>
                <w:color w:val="000000"/>
                <w:sz w:val="21"/>
                <w:szCs w:val="21"/>
                <w:u w:val="none"/>
              </w:rPr>
            </w:pPr>
          </w:p>
        </w:tc>
        <w:tc>
          <w:tcPr>
            <w:tcW w:w="328" w:type="pct"/>
            <w:vMerge w:val="continue"/>
            <w:shd w:val="clear" w:color="auto" w:fill="auto"/>
            <w:vAlign w:val="center"/>
          </w:tcPr>
          <w:p w14:paraId="02785B1B">
            <w:pPr>
              <w:jc w:val="center"/>
              <w:rPr>
                <w:rFonts w:hint="eastAsia" w:ascii="宋体" w:hAnsi="宋体" w:eastAsia="宋体" w:cs="宋体"/>
                <w:i w:val="0"/>
                <w:iCs w:val="0"/>
                <w:color w:val="000000"/>
                <w:sz w:val="21"/>
                <w:szCs w:val="21"/>
                <w:u w:val="none"/>
              </w:rPr>
            </w:pPr>
          </w:p>
        </w:tc>
        <w:tc>
          <w:tcPr>
            <w:tcW w:w="249" w:type="pct"/>
            <w:vMerge w:val="restart"/>
            <w:shd w:val="clear" w:color="auto" w:fill="auto"/>
            <w:vAlign w:val="center"/>
          </w:tcPr>
          <w:p w14:paraId="15B753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2钢结构，按下列规则分别评分并累计</w:t>
            </w:r>
          </w:p>
        </w:tc>
        <w:tc>
          <w:tcPr>
            <w:tcW w:w="958" w:type="pct"/>
            <w:shd w:val="clear" w:color="auto" w:fill="auto"/>
            <w:vAlign w:val="center"/>
          </w:tcPr>
          <w:p w14:paraId="49B5BA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Q355及以上高强钢材用量占钢材总量的比例达到50%,得3分；达到 70%,得4分；</w:t>
            </w:r>
          </w:p>
        </w:tc>
        <w:tc>
          <w:tcPr>
            <w:tcW w:w="328" w:type="pct"/>
            <w:vMerge w:val="continue"/>
            <w:shd w:val="clear" w:color="auto" w:fill="auto"/>
            <w:vAlign w:val="center"/>
          </w:tcPr>
          <w:p w14:paraId="660FE6D4">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536B2FFC">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7D2B5EEC">
            <w:pPr>
              <w:jc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3C353673">
            <w:pPr>
              <w:rPr>
                <w:rFonts w:hint="eastAsia" w:ascii="等线" w:hAnsi="等线" w:eastAsia="等线" w:cs="等线"/>
                <w:i w:val="0"/>
                <w:iCs w:val="0"/>
                <w:color w:val="000000"/>
                <w:sz w:val="21"/>
                <w:szCs w:val="21"/>
                <w:u w:val="none"/>
              </w:rPr>
            </w:pPr>
          </w:p>
        </w:tc>
      </w:tr>
      <w:tr w14:paraId="6FA8E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0" w:hRule="atLeast"/>
        </w:trPr>
        <w:tc>
          <w:tcPr>
            <w:tcW w:w="537" w:type="pct"/>
            <w:vMerge w:val="continue"/>
            <w:shd w:val="clear" w:color="auto" w:fill="auto"/>
            <w:vAlign w:val="center"/>
          </w:tcPr>
          <w:p w14:paraId="76F2659B">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6807797B">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0226FF9B">
            <w:pPr>
              <w:jc w:val="center"/>
              <w:rPr>
                <w:rFonts w:hint="eastAsia" w:ascii="宋体" w:hAnsi="宋体" w:eastAsia="宋体" w:cs="宋体"/>
                <w:i w:val="0"/>
                <w:iCs w:val="0"/>
                <w:color w:val="000000"/>
                <w:sz w:val="21"/>
                <w:szCs w:val="21"/>
                <w:u w:val="none"/>
              </w:rPr>
            </w:pPr>
          </w:p>
        </w:tc>
        <w:tc>
          <w:tcPr>
            <w:tcW w:w="328" w:type="pct"/>
            <w:vMerge w:val="continue"/>
            <w:shd w:val="clear" w:color="auto" w:fill="auto"/>
            <w:vAlign w:val="center"/>
          </w:tcPr>
          <w:p w14:paraId="03D73E46">
            <w:pPr>
              <w:jc w:val="center"/>
              <w:rPr>
                <w:rFonts w:hint="eastAsia" w:ascii="宋体" w:hAnsi="宋体" w:eastAsia="宋体" w:cs="宋体"/>
                <w:i w:val="0"/>
                <w:iCs w:val="0"/>
                <w:color w:val="000000"/>
                <w:sz w:val="21"/>
                <w:szCs w:val="21"/>
                <w:u w:val="none"/>
              </w:rPr>
            </w:pPr>
          </w:p>
        </w:tc>
        <w:tc>
          <w:tcPr>
            <w:tcW w:w="249" w:type="pct"/>
            <w:vMerge w:val="continue"/>
            <w:shd w:val="clear" w:color="auto" w:fill="auto"/>
            <w:vAlign w:val="center"/>
          </w:tcPr>
          <w:p w14:paraId="356C0775">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40D9E8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 螺栓连接等非现场焊接节点占现场全部连接、拼接节点的数量比例达 到50%,得4分；</w:t>
            </w:r>
          </w:p>
        </w:tc>
        <w:tc>
          <w:tcPr>
            <w:tcW w:w="328" w:type="pct"/>
            <w:vMerge w:val="continue"/>
            <w:shd w:val="clear" w:color="auto" w:fill="auto"/>
            <w:vAlign w:val="center"/>
          </w:tcPr>
          <w:p w14:paraId="0A3D0B4C">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3AB1ACC9">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2FE206D2">
            <w:pPr>
              <w:jc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7CB11CCF">
            <w:pPr>
              <w:rPr>
                <w:rFonts w:hint="eastAsia" w:ascii="等线" w:hAnsi="等线" w:eastAsia="等线" w:cs="等线"/>
                <w:i w:val="0"/>
                <w:iCs w:val="0"/>
                <w:color w:val="000000"/>
                <w:sz w:val="21"/>
                <w:szCs w:val="21"/>
                <w:u w:val="none"/>
              </w:rPr>
            </w:pPr>
          </w:p>
        </w:tc>
      </w:tr>
      <w:tr w14:paraId="6D9E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7" w:type="pct"/>
            <w:vMerge w:val="continue"/>
            <w:shd w:val="clear" w:color="auto" w:fill="auto"/>
            <w:vAlign w:val="center"/>
          </w:tcPr>
          <w:p w14:paraId="648505EF">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088C6E66">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061E8EB6">
            <w:pPr>
              <w:jc w:val="center"/>
              <w:rPr>
                <w:rFonts w:hint="eastAsia" w:ascii="宋体" w:hAnsi="宋体" w:eastAsia="宋体" w:cs="宋体"/>
                <w:i w:val="0"/>
                <w:iCs w:val="0"/>
                <w:color w:val="000000"/>
                <w:sz w:val="21"/>
                <w:szCs w:val="21"/>
                <w:u w:val="none"/>
              </w:rPr>
            </w:pPr>
          </w:p>
        </w:tc>
        <w:tc>
          <w:tcPr>
            <w:tcW w:w="328" w:type="pct"/>
            <w:vMerge w:val="continue"/>
            <w:shd w:val="clear" w:color="auto" w:fill="auto"/>
            <w:vAlign w:val="center"/>
          </w:tcPr>
          <w:p w14:paraId="50480782">
            <w:pPr>
              <w:jc w:val="center"/>
              <w:rPr>
                <w:rFonts w:hint="eastAsia" w:ascii="宋体" w:hAnsi="宋体" w:eastAsia="宋体" w:cs="宋体"/>
                <w:i w:val="0"/>
                <w:iCs w:val="0"/>
                <w:color w:val="000000"/>
                <w:sz w:val="21"/>
                <w:szCs w:val="21"/>
                <w:u w:val="none"/>
              </w:rPr>
            </w:pPr>
          </w:p>
        </w:tc>
        <w:tc>
          <w:tcPr>
            <w:tcW w:w="249" w:type="pct"/>
            <w:vMerge w:val="continue"/>
            <w:shd w:val="clear" w:color="auto" w:fill="auto"/>
            <w:vAlign w:val="center"/>
          </w:tcPr>
          <w:p w14:paraId="2E2FBE0C">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618A89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 采用施工时免支撑的楼屋面板，得2分。</w:t>
            </w:r>
          </w:p>
        </w:tc>
        <w:tc>
          <w:tcPr>
            <w:tcW w:w="328" w:type="pct"/>
            <w:vMerge w:val="continue"/>
            <w:shd w:val="clear" w:color="auto" w:fill="auto"/>
            <w:vAlign w:val="center"/>
          </w:tcPr>
          <w:p w14:paraId="149D1E50">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1926B7BE">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14BBAD11">
            <w:pPr>
              <w:jc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366CB538">
            <w:pPr>
              <w:rPr>
                <w:rFonts w:hint="eastAsia" w:ascii="等线" w:hAnsi="等线" w:eastAsia="等线" w:cs="等线"/>
                <w:i w:val="0"/>
                <w:iCs w:val="0"/>
                <w:color w:val="000000"/>
                <w:sz w:val="21"/>
                <w:szCs w:val="21"/>
                <w:u w:val="none"/>
              </w:rPr>
            </w:pPr>
          </w:p>
        </w:tc>
      </w:tr>
      <w:tr w14:paraId="464A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37" w:type="pct"/>
            <w:vMerge w:val="restart"/>
            <w:shd w:val="clear" w:color="auto" w:fill="auto"/>
            <w:vAlign w:val="center"/>
          </w:tcPr>
          <w:p w14:paraId="7FF1C3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vMerge w:val="restart"/>
            <w:shd w:val="clear" w:color="auto" w:fill="auto"/>
            <w:vAlign w:val="center"/>
          </w:tcPr>
          <w:p w14:paraId="580E43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456718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7.2.16</w:t>
            </w:r>
          </w:p>
        </w:tc>
        <w:tc>
          <w:tcPr>
            <w:tcW w:w="578" w:type="pct"/>
            <w:gridSpan w:val="2"/>
            <w:vMerge w:val="restart"/>
            <w:shd w:val="clear" w:color="auto" w:fill="auto"/>
            <w:vAlign w:val="center"/>
          </w:tcPr>
          <w:p w14:paraId="6EF08A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建筑装修选用工业化内装部品，评价总分值为8分。建筑装修选用工业 化内装部品占同类部品用量比例达到50%以上的部品种类</w:t>
            </w:r>
          </w:p>
        </w:tc>
        <w:tc>
          <w:tcPr>
            <w:tcW w:w="958" w:type="pct"/>
            <w:shd w:val="clear" w:color="auto" w:fill="auto"/>
            <w:vAlign w:val="center"/>
          </w:tcPr>
          <w:p w14:paraId="7EE84C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达到1种，得3分；</w:t>
            </w:r>
          </w:p>
        </w:tc>
        <w:tc>
          <w:tcPr>
            <w:tcW w:w="328" w:type="pct"/>
            <w:vMerge w:val="restart"/>
            <w:shd w:val="clear" w:color="auto" w:fill="auto"/>
            <w:vAlign w:val="center"/>
          </w:tcPr>
          <w:p w14:paraId="0E5F3D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结构、工业化</w:t>
            </w:r>
          </w:p>
        </w:tc>
        <w:tc>
          <w:tcPr>
            <w:tcW w:w="310" w:type="pct"/>
            <w:vMerge w:val="restart"/>
            <w:shd w:val="clear" w:color="auto" w:fill="auto"/>
            <w:vAlign w:val="center"/>
          </w:tcPr>
          <w:p w14:paraId="0000C4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46" w:type="pct"/>
            <w:shd w:val="clear" w:color="auto" w:fill="auto"/>
            <w:vAlign w:val="center"/>
          </w:tcPr>
          <w:p w14:paraId="4450EE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573CC85A">
            <w:pPr>
              <w:rPr>
                <w:rFonts w:hint="eastAsia" w:ascii="等线" w:hAnsi="等线" w:eastAsia="等线" w:cs="等线"/>
                <w:i w:val="0"/>
                <w:iCs w:val="0"/>
                <w:color w:val="000000"/>
                <w:sz w:val="21"/>
                <w:szCs w:val="21"/>
                <w:u w:val="none"/>
              </w:rPr>
            </w:pPr>
          </w:p>
        </w:tc>
      </w:tr>
      <w:tr w14:paraId="7DC4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537" w:type="pct"/>
            <w:vMerge w:val="continue"/>
            <w:shd w:val="clear" w:color="auto" w:fill="auto"/>
            <w:vAlign w:val="center"/>
          </w:tcPr>
          <w:p w14:paraId="56FDC147">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23ACDC6D">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7A756B65">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5D9CD61B">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1FE872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达到3种，得5分</w:t>
            </w:r>
          </w:p>
        </w:tc>
        <w:tc>
          <w:tcPr>
            <w:tcW w:w="328" w:type="pct"/>
            <w:vMerge w:val="continue"/>
            <w:shd w:val="clear" w:color="auto" w:fill="auto"/>
            <w:vAlign w:val="center"/>
          </w:tcPr>
          <w:p w14:paraId="20AEE160">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02820B92">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73806F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78B18FCB">
            <w:pPr>
              <w:rPr>
                <w:rFonts w:hint="eastAsia" w:ascii="等线" w:hAnsi="等线" w:eastAsia="等线" w:cs="等线"/>
                <w:i w:val="0"/>
                <w:iCs w:val="0"/>
                <w:color w:val="000000"/>
                <w:sz w:val="21"/>
                <w:szCs w:val="21"/>
                <w:u w:val="none"/>
              </w:rPr>
            </w:pPr>
          </w:p>
        </w:tc>
      </w:tr>
      <w:tr w14:paraId="616E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537" w:type="pct"/>
            <w:vMerge w:val="continue"/>
            <w:shd w:val="clear" w:color="auto" w:fill="auto"/>
            <w:vAlign w:val="center"/>
          </w:tcPr>
          <w:p w14:paraId="62B612D4">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6277FFE2">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4B8A0731">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18E89B6D">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04A73F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达到3种以上，得8分。</w:t>
            </w:r>
          </w:p>
        </w:tc>
        <w:tc>
          <w:tcPr>
            <w:tcW w:w="328" w:type="pct"/>
            <w:vMerge w:val="continue"/>
            <w:shd w:val="clear" w:color="auto" w:fill="auto"/>
            <w:vAlign w:val="center"/>
          </w:tcPr>
          <w:p w14:paraId="409CB64C">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383E2ABF">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39E6DF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53BB0569">
            <w:pPr>
              <w:rPr>
                <w:rFonts w:hint="eastAsia" w:ascii="等线" w:hAnsi="等线" w:eastAsia="等线" w:cs="等线"/>
                <w:i w:val="0"/>
                <w:iCs w:val="0"/>
                <w:color w:val="000000"/>
                <w:sz w:val="21"/>
                <w:szCs w:val="21"/>
                <w:u w:val="none"/>
              </w:rPr>
            </w:pPr>
          </w:p>
        </w:tc>
      </w:tr>
      <w:tr w14:paraId="4A9B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537" w:type="pct"/>
            <w:vMerge w:val="restart"/>
            <w:shd w:val="clear" w:color="auto" w:fill="auto"/>
            <w:vAlign w:val="center"/>
          </w:tcPr>
          <w:p w14:paraId="1FD8BA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vMerge w:val="restart"/>
            <w:shd w:val="clear" w:color="auto" w:fill="auto"/>
            <w:vAlign w:val="center"/>
          </w:tcPr>
          <w:p w14:paraId="12922B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69B1D3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7.2.17</w:t>
            </w:r>
          </w:p>
        </w:tc>
        <w:tc>
          <w:tcPr>
            <w:tcW w:w="328" w:type="pct"/>
            <w:vMerge w:val="restart"/>
            <w:shd w:val="clear" w:color="auto" w:fill="auto"/>
            <w:vAlign w:val="center"/>
          </w:tcPr>
          <w:p w14:paraId="1386BB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选用可再循环材料、可再利用材料及利废建材。</w:t>
            </w:r>
          </w:p>
        </w:tc>
        <w:tc>
          <w:tcPr>
            <w:tcW w:w="249" w:type="pct"/>
            <w:vMerge w:val="restart"/>
            <w:shd w:val="clear" w:color="auto" w:fill="auto"/>
            <w:vAlign w:val="center"/>
          </w:tcPr>
          <w:p w14:paraId="46E169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1可再循环材料和可再利用材料用量比例</w:t>
            </w:r>
          </w:p>
        </w:tc>
        <w:tc>
          <w:tcPr>
            <w:tcW w:w="958" w:type="pct"/>
            <w:shd w:val="clear" w:color="auto" w:fill="auto"/>
            <w:vAlign w:val="center"/>
          </w:tcPr>
          <w:p w14:paraId="7EA00D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住宅建筑达到6%或公共建筑达到10%,得3分。</w:t>
            </w:r>
          </w:p>
        </w:tc>
        <w:tc>
          <w:tcPr>
            <w:tcW w:w="328" w:type="pct"/>
            <w:vMerge w:val="restart"/>
            <w:shd w:val="clear" w:color="auto" w:fill="auto"/>
            <w:vAlign w:val="center"/>
          </w:tcPr>
          <w:p w14:paraId="6C0407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w:t>
            </w:r>
          </w:p>
        </w:tc>
        <w:tc>
          <w:tcPr>
            <w:tcW w:w="310" w:type="pct"/>
            <w:vMerge w:val="restart"/>
            <w:shd w:val="clear" w:color="auto" w:fill="auto"/>
            <w:vAlign w:val="center"/>
          </w:tcPr>
          <w:p w14:paraId="57997E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46" w:type="pct"/>
            <w:shd w:val="clear" w:color="auto" w:fill="auto"/>
            <w:vAlign w:val="center"/>
          </w:tcPr>
          <w:p w14:paraId="7EA89F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5E30CF6B">
            <w:pPr>
              <w:rPr>
                <w:rFonts w:hint="eastAsia" w:ascii="等线" w:hAnsi="等线" w:eastAsia="等线" w:cs="等线"/>
                <w:i w:val="0"/>
                <w:iCs w:val="0"/>
                <w:color w:val="000000"/>
                <w:sz w:val="21"/>
                <w:szCs w:val="21"/>
                <w:u w:val="none"/>
              </w:rPr>
            </w:pPr>
          </w:p>
        </w:tc>
      </w:tr>
      <w:tr w14:paraId="0839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37" w:type="pct"/>
            <w:vMerge w:val="continue"/>
            <w:shd w:val="clear" w:color="auto" w:fill="auto"/>
            <w:vAlign w:val="center"/>
          </w:tcPr>
          <w:p w14:paraId="01731A26">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4615A3A5">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013F3C6D">
            <w:pPr>
              <w:jc w:val="center"/>
              <w:rPr>
                <w:rFonts w:hint="eastAsia" w:ascii="宋体" w:hAnsi="宋体" w:eastAsia="宋体" w:cs="宋体"/>
                <w:i w:val="0"/>
                <w:iCs w:val="0"/>
                <w:color w:val="000000"/>
                <w:sz w:val="21"/>
                <w:szCs w:val="21"/>
                <w:u w:val="none"/>
              </w:rPr>
            </w:pPr>
          </w:p>
        </w:tc>
        <w:tc>
          <w:tcPr>
            <w:tcW w:w="328" w:type="pct"/>
            <w:vMerge w:val="continue"/>
            <w:shd w:val="clear" w:color="auto" w:fill="auto"/>
            <w:vAlign w:val="center"/>
          </w:tcPr>
          <w:p w14:paraId="31B18874">
            <w:pPr>
              <w:jc w:val="center"/>
              <w:rPr>
                <w:rFonts w:hint="eastAsia" w:ascii="宋体" w:hAnsi="宋体" w:eastAsia="宋体" w:cs="宋体"/>
                <w:i w:val="0"/>
                <w:iCs w:val="0"/>
                <w:color w:val="000000"/>
                <w:sz w:val="21"/>
                <w:szCs w:val="21"/>
                <w:u w:val="none"/>
              </w:rPr>
            </w:pPr>
          </w:p>
        </w:tc>
        <w:tc>
          <w:tcPr>
            <w:tcW w:w="249" w:type="pct"/>
            <w:vMerge w:val="continue"/>
            <w:shd w:val="clear" w:color="auto" w:fill="auto"/>
            <w:vAlign w:val="center"/>
          </w:tcPr>
          <w:p w14:paraId="76BBA0A5">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573BBB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 住宅建筑达到10%或公共建筑达到15%,得6分。</w:t>
            </w:r>
          </w:p>
        </w:tc>
        <w:tc>
          <w:tcPr>
            <w:tcW w:w="328" w:type="pct"/>
            <w:vMerge w:val="continue"/>
            <w:shd w:val="clear" w:color="auto" w:fill="auto"/>
            <w:vAlign w:val="center"/>
          </w:tcPr>
          <w:p w14:paraId="4F9AECB1">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1A943398">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15993C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6131EA9E">
            <w:pPr>
              <w:rPr>
                <w:rFonts w:hint="eastAsia" w:ascii="等线" w:hAnsi="等线" w:eastAsia="等线" w:cs="等线"/>
                <w:i w:val="0"/>
                <w:iCs w:val="0"/>
                <w:color w:val="000000"/>
                <w:sz w:val="21"/>
                <w:szCs w:val="21"/>
                <w:u w:val="none"/>
              </w:rPr>
            </w:pPr>
          </w:p>
        </w:tc>
      </w:tr>
      <w:tr w14:paraId="7152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37" w:type="pct"/>
            <w:vMerge w:val="continue"/>
            <w:shd w:val="clear" w:color="auto" w:fill="auto"/>
            <w:vAlign w:val="center"/>
          </w:tcPr>
          <w:p w14:paraId="48D8911D">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2C052EA8">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1911C4EF">
            <w:pPr>
              <w:jc w:val="center"/>
              <w:rPr>
                <w:rFonts w:hint="eastAsia" w:ascii="宋体" w:hAnsi="宋体" w:eastAsia="宋体" w:cs="宋体"/>
                <w:i w:val="0"/>
                <w:iCs w:val="0"/>
                <w:color w:val="000000"/>
                <w:sz w:val="21"/>
                <w:szCs w:val="21"/>
                <w:u w:val="none"/>
              </w:rPr>
            </w:pPr>
          </w:p>
        </w:tc>
        <w:tc>
          <w:tcPr>
            <w:tcW w:w="328" w:type="pct"/>
            <w:vMerge w:val="continue"/>
            <w:shd w:val="clear" w:color="auto" w:fill="auto"/>
            <w:vAlign w:val="center"/>
          </w:tcPr>
          <w:p w14:paraId="4D169E02">
            <w:pPr>
              <w:jc w:val="center"/>
              <w:rPr>
                <w:rFonts w:hint="eastAsia" w:ascii="宋体" w:hAnsi="宋体" w:eastAsia="宋体" w:cs="宋体"/>
                <w:i w:val="0"/>
                <w:iCs w:val="0"/>
                <w:color w:val="000000"/>
                <w:sz w:val="21"/>
                <w:szCs w:val="21"/>
                <w:u w:val="none"/>
              </w:rPr>
            </w:pPr>
          </w:p>
        </w:tc>
        <w:tc>
          <w:tcPr>
            <w:tcW w:w="249" w:type="pct"/>
            <w:vMerge w:val="restart"/>
            <w:shd w:val="clear" w:color="auto" w:fill="auto"/>
            <w:vAlign w:val="center"/>
          </w:tcPr>
          <w:p w14:paraId="372471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2利废建材选用及其用量比例</w:t>
            </w:r>
          </w:p>
        </w:tc>
        <w:tc>
          <w:tcPr>
            <w:tcW w:w="958" w:type="pct"/>
            <w:shd w:val="clear" w:color="auto" w:fill="auto"/>
            <w:vAlign w:val="center"/>
          </w:tcPr>
          <w:p w14:paraId="210904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采用一种利废建材，其占同类建材的用量比例不低于50%,得3分。</w:t>
            </w:r>
          </w:p>
        </w:tc>
        <w:tc>
          <w:tcPr>
            <w:tcW w:w="328" w:type="pct"/>
            <w:vMerge w:val="continue"/>
            <w:shd w:val="clear" w:color="auto" w:fill="auto"/>
            <w:vAlign w:val="center"/>
          </w:tcPr>
          <w:p w14:paraId="25B3EFEE">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4EB46C72">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71A51B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55BD0011">
            <w:pPr>
              <w:rPr>
                <w:rFonts w:hint="eastAsia" w:ascii="等线" w:hAnsi="等线" w:eastAsia="等线" w:cs="等线"/>
                <w:i w:val="0"/>
                <w:iCs w:val="0"/>
                <w:color w:val="000000"/>
                <w:sz w:val="21"/>
                <w:szCs w:val="21"/>
                <w:u w:val="none"/>
              </w:rPr>
            </w:pPr>
          </w:p>
        </w:tc>
      </w:tr>
      <w:tr w14:paraId="2A5E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0" w:hRule="atLeast"/>
        </w:trPr>
        <w:tc>
          <w:tcPr>
            <w:tcW w:w="537" w:type="pct"/>
            <w:vMerge w:val="continue"/>
            <w:shd w:val="clear" w:color="auto" w:fill="auto"/>
            <w:vAlign w:val="center"/>
          </w:tcPr>
          <w:p w14:paraId="0DA34D90">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23CF48E2">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327051E7">
            <w:pPr>
              <w:jc w:val="center"/>
              <w:rPr>
                <w:rFonts w:hint="eastAsia" w:ascii="宋体" w:hAnsi="宋体" w:eastAsia="宋体" w:cs="宋体"/>
                <w:i w:val="0"/>
                <w:iCs w:val="0"/>
                <w:color w:val="000000"/>
                <w:sz w:val="21"/>
                <w:szCs w:val="21"/>
                <w:u w:val="none"/>
              </w:rPr>
            </w:pPr>
          </w:p>
        </w:tc>
        <w:tc>
          <w:tcPr>
            <w:tcW w:w="328" w:type="pct"/>
            <w:vMerge w:val="continue"/>
            <w:shd w:val="clear" w:color="auto" w:fill="auto"/>
            <w:vAlign w:val="center"/>
          </w:tcPr>
          <w:p w14:paraId="00536E65">
            <w:pPr>
              <w:jc w:val="center"/>
              <w:rPr>
                <w:rFonts w:hint="eastAsia" w:ascii="宋体" w:hAnsi="宋体" w:eastAsia="宋体" w:cs="宋体"/>
                <w:i w:val="0"/>
                <w:iCs w:val="0"/>
                <w:color w:val="000000"/>
                <w:sz w:val="21"/>
                <w:szCs w:val="21"/>
                <w:u w:val="none"/>
              </w:rPr>
            </w:pPr>
          </w:p>
        </w:tc>
        <w:tc>
          <w:tcPr>
            <w:tcW w:w="249" w:type="pct"/>
            <w:vMerge w:val="continue"/>
            <w:shd w:val="clear" w:color="auto" w:fill="auto"/>
            <w:vAlign w:val="center"/>
          </w:tcPr>
          <w:p w14:paraId="442D8CB3">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397DA3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选用两种及以上的利废建材，每一种占同类建材的用量比例均不低于 30%,得6分。</w:t>
            </w:r>
          </w:p>
        </w:tc>
        <w:tc>
          <w:tcPr>
            <w:tcW w:w="328" w:type="pct"/>
            <w:vMerge w:val="continue"/>
            <w:shd w:val="clear" w:color="auto" w:fill="auto"/>
            <w:vAlign w:val="center"/>
          </w:tcPr>
          <w:p w14:paraId="21DBB982">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3DA716FD">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46A946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616F479F">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56284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537" w:type="pct"/>
            <w:shd w:val="clear" w:color="auto" w:fill="auto"/>
            <w:vAlign w:val="center"/>
          </w:tcPr>
          <w:p w14:paraId="67E906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 资源节约</w:t>
            </w:r>
          </w:p>
        </w:tc>
        <w:tc>
          <w:tcPr>
            <w:tcW w:w="292" w:type="pct"/>
            <w:shd w:val="clear" w:color="auto" w:fill="auto"/>
            <w:vAlign w:val="center"/>
          </w:tcPr>
          <w:p w14:paraId="354F4E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6FEF49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7.2.18</w:t>
            </w:r>
          </w:p>
        </w:tc>
        <w:tc>
          <w:tcPr>
            <w:tcW w:w="1536" w:type="pct"/>
            <w:gridSpan w:val="3"/>
            <w:shd w:val="clear" w:color="auto" w:fill="auto"/>
            <w:vAlign w:val="center"/>
          </w:tcPr>
          <w:p w14:paraId="669F5D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选用绿色建材。绿色建材应用比例不低于40%,得 4分；不低于50%,得8分；不低于70%,得12分。</w:t>
            </w:r>
          </w:p>
        </w:tc>
        <w:tc>
          <w:tcPr>
            <w:tcW w:w="328" w:type="pct"/>
            <w:shd w:val="clear" w:color="auto" w:fill="auto"/>
            <w:vAlign w:val="center"/>
          </w:tcPr>
          <w:p w14:paraId="7450FF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建筑、成本</w:t>
            </w:r>
          </w:p>
        </w:tc>
        <w:tc>
          <w:tcPr>
            <w:tcW w:w="310" w:type="pct"/>
            <w:shd w:val="clear" w:color="auto" w:fill="auto"/>
            <w:vAlign w:val="center"/>
          </w:tcPr>
          <w:p w14:paraId="715AF9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46" w:type="pct"/>
            <w:shd w:val="clear" w:color="auto" w:fill="auto"/>
            <w:vAlign w:val="center"/>
          </w:tcPr>
          <w:p w14:paraId="1FB8BA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624590DC">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6FC8A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537" w:type="pct"/>
            <w:shd w:val="clear" w:color="auto" w:fill="auto"/>
            <w:vAlign w:val="center"/>
          </w:tcPr>
          <w:p w14:paraId="7A00DA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环境宜居</w:t>
            </w:r>
          </w:p>
        </w:tc>
        <w:tc>
          <w:tcPr>
            <w:tcW w:w="292" w:type="pct"/>
            <w:shd w:val="clear" w:color="auto" w:fill="auto"/>
            <w:vAlign w:val="center"/>
          </w:tcPr>
          <w:p w14:paraId="3622A1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4BA0B7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8.1.1</w:t>
            </w:r>
          </w:p>
        </w:tc>
        <w:tc>
          <w:tcPr>
            <w:tcW w:w="1536" w:type="pct"/>
            <w:gridSpan w:val="3"/>
            <w:shd w:val="clear" w:color="auto" w:fill="auto"/>
            <w:vAlign w:val="center"/>
          </w:tcPr>
          <w:p w14:paraId="20ED8D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建筑规划布局应满足日照标准，且不得降低周边建筑的日照标准。</w:t>
            </w:r>
          </w:p>
        </w:tc>
        <w:tc>
          <w:tcPr>
            <w:tcW w:w="328" w:type="pct"/>
            <w:shd w:val="clear" w:color="auto" w:fill="auto"/>
            <w:vAlign w:val="center"/>
          </w:tcPr>
          <w:p w14:paraId="68A9A1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7F6F56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29F425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6055578A">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1E08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537" w:type="pct"/>
            <w:shd w:val="clear" w:color="auto" w:fill="auto"/>
            <w:vAlign w:val="center"/>
          </w:tcPr>
          <w:p w14:paraId="597ADD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环境宜居</w:t>
            </w:r>
          </w:p>
        </w:tc>
        <w:tc>
          <w:tcPr>
            <w:tcW w:w="292" w:type="pct"/>
            <w:shd w:val="clear" w:color="auto" w:fill="auto"/>
            <w:vAlign w:val="center"/>
          </w:tcPr>
          <w:p w14:paraId="318BB1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709E83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8.1.2</w:t>
            </w:r>
          </w:p>
        </w:tc>
        <w:tc>
          <w:tcPr>
            <w:tcW w:w="1536" w:type="pct"/>
            <w:gridSpan w:val="3"/>
            <w:shd w:val="clear" w:color="auto" w:fill="auto"/>
            <w:vAlign w:val="center"/>
          </w:tcPr>
          <w:p w14:paraId="36B9B9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室外热环境应满足国家现行有关标准的要求。</w:t>
            </w:r>
          </w:p>
        </w:tc>
        <w:tc>
          <w:tcPr>
            <w:tcW w:w="328" w:type="pct"/>
            <w:shd w:val="clear" w:color="auto" w:fill="auto"/>
            <w:vAlign w:val="center"/>
          </w:tcPr>
          <w:p w14:paraId="706747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景观、物理</w:t>
            </w:r>
          </w:p>
        </w:tc>
        <w:tc>
          <w:tcPr>
            <w:tcW w:w="310" w:type="pct"/>
            <w:shd w:val="clear" w:color="auto" w:fill="auto"/>
            <w:vAlign w:val="center"/>
          </w:tcPr>
          <w:p w14:paraId="6CF6BD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3C079E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77454DF3">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5EC07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37" w:type="pct"/>
            <w:shd w:val="clear" w:color="auto" w:fill="auto"/>
            <w:vAlign w:val="center"/>
          </w:tcPr>
          <w:p w14:paraId="653A0A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环境宜居</w:t>
            </w:r>
          </w:p>
        </w:tc>
        <w:tc>
          <w:tcPr>
            <w:tcW w:w="292" w:type="pct"/>
            <w:shd w:val="clear" w:color="auto" w:fill="auto"/>
            <w:vAlign w:val="center"/>
          </w:tcPr>
          <w:p w14:paraId="2C660E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1F87F2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8.1.3</w:t>
            </w:r>
          </w:p>
        </w:tc>
        <w:tc>
          <w:tcPr>
            <w:tcW w:w="1536" w:type="pct"/>
            <w:gridSpan w:val="3"/>
            <w:shd w:val="clear" w:color="auto" w:fill="auto"/>
            <w:vAlign w:val="center"/>
          </w:tcPr>
          <w:p w14:paraId="194322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配建的绿地应符合所在地城乡规划的要求，应合理选择绿化方式，植物种植应适应当地气候和土壤，且应无毒害、易维护，种植区域覆土深度和排水能力应满足植物生产需求，并应采用复层绿化方式。</w:t>
            </w:r>
          </w:p>
        </w:tc>
        <w:tc>
          <w:tcPr>
            <w:tcW w:w="328" w:type="pct"/>
            <w:shd w:val="clear" w:color="auto" w:fill="auto"/>
            <w:vAlign w:val="center"/>
          </w:tcPr>
          <w:p w14:paraId="76C8E0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7478FA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726C83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6C544040">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0458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2" w:hRule="atLeast"/>
        </w:trPr>
        <w:tc>
          <w:tcPr>
            <w:tcW w:w="537" w:type="pct"/>
            <w:shd w:val="clear" w:color="auto" w:fill="auto"/>
            <w:vAlign w:val="center"/>
          </w:tcPr>
          <w:p w14:paraId="4CC02D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环境宜居</w:t>
            </w:r>
          </w:p>
        </w:tc>
        <w:tc>
          <w:tcPr>
            <w:tcW w:w="292" w:type="pct"/>
            <w:shd w:val="clear" w:color="auto" w:fill="auto"/>
            <w:vAlign w:val="center"/>
          </w:tcPr>
          <w:p w14:paraId="3CD9F1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6D2FB3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8.1.4</w:t>
            </w:r>
          </w:p>
        </w:tc>
        <w:tc>
          <w:tcPr>
            <w:tcW w:w="1536" w:type="pct"/>
            <w:gridSpan w:val="3"/>
            <w:shd w:val="clear" w:color="auto" w:fill="auto"/>
            <w:vAlign w:val="center"/>
          </w:tcPr>
          <w:p w14:paraId="480783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场地的竖向设计应有利于雨水的收集或排放，应有效组织雨水的下渗、滞蓄或再利用；对大于10hm2的场地应进行雨水控制利用专项设计。</w:t>
            </w:r>
          </w:p>
        </w:tc>
        <w:tc>
          <w:tcPr>
            <w:tcW w:w="328" w:type="pct"/>
            <w:shd w:val="clear" w:color="auto" w:fill="auto"/>
            <w:vAlign w:val="center"/>
          </w:tcPr>
          <w:p w14:paraId="77ACDD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w:t>
            </w:r>
          </w:p>
        </w:tc>
        <w:tc>
          <w:tcPr>
            <w:tcW w:w="310" w:type="pct"/>
            <w:shd w:val="clear" w:color="auto" w:fill="auto"/>
            <w:vAlign w:val="center"/>
          </w:tcPr>
          <w:p w14:paraId="2889DD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69120A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70C4FD64">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1A09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537" w:type="pct"/>
            <w:shd w:val="clear" w:color="auto" w:fill="auto"/>
            <w:vAlign w:val="center"/>
          </w:tcPr>
          <w:p w14:paraId="28F44C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环境宜居</w:t>
            </w:r>
          </w:p>
        </w:tc>
        <w:tc>
          <w:tcPr>
            <w:tcW w:w="292" w:type="pct"/>
            <w:shd w:val="clear" w:color="auto" w:fill="auto"/>
            <w:vAlign w:val="center"/>
          </w:tcPr>
          <w:p w14:paraId="079BB9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390463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8.1.5</w:t>
            </w:r>
          </w:p>
        </w:tc>
        <w:tc>
          <w:tcPr>
            <w:tcW w:w="1536" w:type="pct"/>
            <w:gridSpan w:val="3"/>
            <w:shd w:val="clear" w:color="auto" w:fill="auto"/>
            <w:vAlign w:val="center"/>
          </w:tcPr>
          <w:p w14:paraId="117E98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建筑内外均应设置便于识别和使用的标识系统。</w:t>
            </w:r>
          </w:p>
        </w:tc>
        <w:tc>
          <w:tcPr>
            <w:tcW w:w="328" w:type="pct"/>
            <w:shd w:val="clear" w:color="auto" w:fill="auto"/>
            <w:vAlign w:val="center"/>
          </w:tcPr>
          <w:p w14:paraId="014C14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5C4BD1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5C9B6F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14C283E3">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4B92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537" w:type="pct"/>
            <w:shd w:val="clear" w:color="auto" w:fill="auto"/>
            <w:vAlign w:val="center"/>
          </w:tcPr>
          <w:p w14:paraId="1A3AE2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环境宜居</w:t>
            </w:r>
          </w:p>
        </w:tc>
        <w:tc>
          <w:tcPr>
            <w:tcW w:w="292" w:type="pct"/>
            <w:shd w:val="clear" w:color="auto" w:fill="auto"/>
            <w:vAlign w:val="center"/>
          </w:tcPr>
          <w:p w14:paraId="0437A2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439D30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8.1.6</w:t>
            </w:r>
          </w:p>
        </w:tc>
        <w:tc>
          <w:tcPr>
            <w:tcW w:w="1536" w:type="pct"/>
            <w:gridSpan w:val="3"/>
            <w:shd w:val="clear" w:color="auto" w:fill="auto"/>
            <w:vAlign w:val="center"/>
          </w:tcPr>
          <w:p w14:paraId="6092D3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场地内不应有排放超标的污染源。</w:t>
            </w:r>
          </w:p>
        </w:tc>
        <w:tc>
          <w:tcPr>
            <w:tcW w:w="328" w:type="pct"/>
            <w:shd w:val="clear" w:color="auto" w:fill="auto"/>
            <w:vAlign w:val="center"/>
          </w:tcPr>
          <w:p w14:paraId="0AA367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1CC9B6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6FCFD0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67309120">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60309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537" w:type="pct"/>
            <w:shd w:val="clear" w:color="auto" w:fill="auto"/>
            <w:vAlign w:val="center"/>
          </w:tcPr>
          <w:p w14:paraId="681449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环境宜居</w:t>
            </w:r>
          </w:p>
        </w:tc>
        <w:tc>
          <w:tcPr>
            <w:tcW w:w="292" w:type="pct"/>
            <w:shd w:val="clear" w:color="auto" w:fill="auto"/>
            <w:vAlign w:val="center"/>
          </w:tcPr>
          <w:p w14:paraId="0B872B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29B097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8.1.7</w:t>
            </w:r>
          </w:p>
        </w:tc>
        <w:tc>
          <w:tcPr>
            <w:tcW w:w="1536" w:type="pct"/>
            <w:gridSpan w:val="3"/>
            <w:shd w:val="clear" w:color="auto" w:fill="auto"/>
            <w:vAlign w:val="center"/>
          </w:tcPr>
          <w:p w14:paraId="1AA531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生活垃圾应分类收集，垃圾容器和收集点的设置应合理并应与周围景观协调。</w:t>
            </w:r>
          </w:p>
        </w:tc>
        <w:tc>
          <w:tcPr>
            <w:tcW w:w="328" w:type="pct"/>
            <w:shd w:val="clear" w:color="auto" w:fill="auto"/>
            <w:vAlign w:val="center"/>
          </w:tcPr>
          <w:p w14:paraId="1FC86A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255EC0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76BF3F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3E96EBC7">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7607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trPr>
        <w:tc>
          <w:tcPr>
            <w:tcW w:w="537" w:type="pct"/>
            <w:shd w:val="clear" w:color="auto" w:fill="auto"/>
            <w:vAlign w:val="center"/>
          </w:tcPr>
          <w:p w14:paraId="0D2076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环境宜居</w:t>
            </w:r>
          </w:p>
        </w:tc>
        <w:tc>
          <w:tcPr>
            <w:tcW w:w="292" w:type="pct"/>
            <w:shd w:val="clear" w:color="auto" w:fill="auto"/>
            <w:vAlign w:val="center"/>
          </w:tcPr>
          <w:p w14:paraId="33E1E8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控制项</w:t>
            </w:r>
          </w:p>
        </w:tc>
        <w:tc>
          <w:tcPr>
            <w:tcW w:w="346" w:type="pct"/>
            <w:shd w:val="clear" w:color="auto" w:fill="auto"/>
            <w:vAlign w:val="center"/>
          </w:tcPr>
          <w:p w14:paraId="1A325C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8.1.8</w:t>
            </w:r>
          </w:p>
        </w:tc>
        <w:tc>
          <w:tcPr>
            <w:tcW w:w="1536" w:type="pct"/>
            <w:gridSpan w:val="3"/>
            <w:shd w:val="clear" w:color="auto" w:fill="auto"/>
            <w:vAlign w:val="center"/>
          </w:tcPr>
          <w:p w14:paraId="530738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环境宜居相关技术要求应符合现行强制性工程建设规范《建筑环境通用规范》GB55016、《市容环卫工程项自规范》GB55013、《园林绿化工程项目规范》GB 55014、《建筑给水排水与节水通用规范》GB55020等的规定。</w:t>
            </w:r>
          </w:p>
        </w:tc>
        <w:tc>
          <w:tcPr>
            <w:tcW w:w="328" w:type="pct"/>
            <w:shd w:val="clear" w:color="auto" w:fill="auto"/>
            <w:vAlign w:val="center"/>
          </w:tcPr>
          <w:p w14:paraId="5FBE7D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全专业</w:t>
            </w:r>
          </w:p>
        </w:tc>
        <w:tc>
          <w:tcPr>
            <w:tcW w:w="310" w:type="pct"/>
            <w:shd w:val="clear" w:color="auto" w:fill="auto"/>
            <w:vAlign w:val="center"/>
          </w:tcPr>
          <w:p w14:paraId="3EA9CD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46" w:type="pct"/>
            <w:shd w:val="clear" w:color="auto" w:fill="auto"/>
            <w:vAlign w:val="center"/>
          </w:tcPr>
          <w:p w14:paraId="340B8A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40231060">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1657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537" w:type="pct"/>
            <w:shd w:val="clear" w:color="auto" w:fill="auto"/>
            <w:vAlign w:val="center"/>
          </w:tcPr>
          <w:p w14:paraId="7CFB40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环境宜居</w:t>
            </w:r>
          </w:p>
        </w:tc>
        <w:tc>
          <w:tcPr>
            <w:tcW w:w="292" w:type="pct"/>
            <w:shd w:val="clear" w:color="auto" w:fill="auto"/>
            <w:vAlign w:val="center"/>
          </w:tcPr>
          <w:p w14:paraId="27ACAF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74F57C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8.2.1</w:t>
            </w:r>
          </w:p>
        </w:tc>
        <w:tc>
          <w:tcPr>
            <w:tcW w:w="1536" w:type="pct"/>
            <w:gridSpan w:val="3"/>
            <w:shd w:val="clear" w:color="auto" w:fill="auto"/>
            <w:vAlign w:val="center"/>
          </w:tcPr>
          <w:p w14:paraId="2B5ED9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充分保护或修复场地生态环境，合理布局建筑及景观。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1保护场地内原有的自然水域、湿地、植被等，保持场地内的生态系统与 场地外生态系统的连贯性，得10分。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2釆取净地表层土回收利用等生态补偿措施，得10分。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3根据场地实际状况，釆取其他生态恢复或补偿措施，得10分。</w:t>
            </w:r>
          </w:p>
        </w:tc>
        <w:tc>
          <w:tcPr>
            <w:tcW w:w="328" w:type="pct"/>
            <w:shd w:val="clear" w:color="auto" w:fill="auto"/>
            <w:vAlign w:val="center"/>
          </w:tcPr>
          <w:p w14:paraId="059694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61E231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 w:type="pct"/>
            <w:shd w:val="clear" w:color="auto" w:fill="auto"/>
            <w:vAlign w:val="center"/>
          </w:tcPr>
          <w:p w14:paraId="712A82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02BED794">
            <w:pPr>
              <w:rPr>
                <w:rFonts w:hint="eastAsia" w:ascii="等线" w:hAnsi="等线" w:eastAsia="等线" w:cs="等线"/>
                <w:i w:val="0"/>
                <w:iCs w:val="0"/>
                <w:color w:val="000000"/>
                <w:sz w:val="21"/>
                <w:szCs w:val="21"/>
                <w:u w:val="none"/>
              </w:rPr>
            </w:pPr>
          </w:p>
        </w:tc>
      </w:tr>
      <w:tr w14:paraId="07E1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5" w:hRule="atLeast"/>
        </w:trPr>
        <w:tc>
          <w:tcPr>
            <w:tcW w:w="537" w:type="pct"/>
            <w:shd w:val="clear" w:color="auto" w:fill="auto"/>
            <w:vAlign w:val="center"/>
          </w:tcPr>
          <w:p w14:paraId="79DF6F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环境宜居</w:t>
            </w:r>
          </w:p>
        </w:tc>
        <w:tc>
          <w:tcPr>
            <w:tcW w:w="292" w:type="pct"/>
            <w:shd w:val="clear" w:color="auto" w:fill="auto"/>
            <w:vAlign w:val="center"/>
          </w:tcPr>
          <w:p w14:paraId="0165ED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shd w:val="clear" w:color="auto" w:fill="auto"/>
            <w:vAlign w:val="center"/>
          </w:tcPr>
          <w:p w14:paraId="4204EA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8.2.2</w:t>
            </w:r>
          </w:p>
        </w:tc>
        <w:tc>
          <w:tcPr>
            <w:tcW w:w="1536" w:type="pct"/>
            <w:gridSpan w:val="3"/>
            <w:shd w:val="clear" w:color="auto" w:fill="auto"/>
            <w:vAlign w:val="center"/>
          </w:tcPr>
          <w:p w14:paraId="23DA1D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规划场地地标和屋面雨水径流，对场地雨水实施外排总量控制。评价总分 值为10分，场地年径流总量控制率达到55%,得5分；达到70%,得10分。</w:t>
            </w:r>
          </w:p>
        </w:tc>
        <w:tc>
          <w:tcPr>
            <w:tcW w:w="328" w:type="pct"/>
            <w:shd w:val="clear" w:color="auto" w:fill="auto"/>
            <w:vAlign w:val="center"/>
          </w:tcPr>
          <w:p w14:paraId="0CC516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w:t>
            </w:r>
          </w:p>
        </w:tc>
        <w:tc>
          <w:tcPr>
            <w:tcW w:w="310" w:type="pct"/>
            <w:shd w:val="clear" w:color="auto" w:fill="auto"/>
            <w:vAlign w:val="center"/>
          </w:tcPr>
          <w:p w14:paraId="3BAC60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 w:type="pct"/>
            <w:shd w:val="clear" w:color="auto" w:fill="auto"/>
            <w:vAlign w:val="center"/>
          </w:tcPr>
          <w:p w14:paraId="7FEBC2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3970A2AF">
            <w:pPr>
              <w:jc w:val="left"/>
              <w:rPr>
                <w:rFonts w:hint="eastAsia" w:ascii="宋体" w:hAnsi="宋体" w:eastAsia="宋体" w:cs="宋体"/>
                <w:i w:val="0"/>
                <w:iCs w:val="0"/>
                <w:color w:val="000000"/>
                <w:sz w:val="21"/>
                <w:szCs w:val="21"/>
                <w:u w:val="none"/>
              </w:rPr>
            </w:pPr>
          </w:p>
        </w:tc>
      </w:tr>
      <w:tr w14:paraId="14EB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37" w:type="pct"/>
            <w:vMerge w:val="restart"/>
            <w:shd w:val="clear" w:color="auto" w:fill="auto"/>
            <w:vAlign w:val="center"/>
          </w:tcPr>
          <w:p w14:paraId="41766D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环境宜居</w:t>
            </w:r>
          </w:p>
        </w:tc>
        <w:tc>
          <w:tcPr>
            <w:tcW w:w="292" w:type="pct"/>
            <w:vMerge w:val="restart"/>
            <w:shd w:val="clear" w:color="auto" w:fill="auto"/>
            <w:vAlign w:val="center"/>
          </w:tcPr>
          <w:p w14:paraId="76AD58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334DFC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8.2.3</w:t>
            </w:r>
          </w:p>
        </w:tc>
        <w:tc>
          <w:tcPr>
            <w:tcW w:w="328" w:type="pct"/>
            <w:vMerge w:val="restart"/>
            <w:shd w:val="clear" w:color="auto" w:fill="auto"/>
            <w:vAlign w:val="center"/>
          </w:tcPr>
          <w:p w14:paraId="57733A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充分利用场地空间设置绿化用地。</w:t>
            </w:r>
          </w:p>
        </w:tc>
        <w:tc>
          <w:tcPr>
            <w:tcW w:w="249" w:type="pct"/>
            <w:vMerge w:val="restart"/>
            <w:shd w:val="clear" w:color="auto" w:fill="auto"/>
            <w:vAlign w:val="center"/>
          </w:tcPr>
          <w:p w14:paraId="689526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1住宅建筑按下列规则分别评分并累计：</w:t>
            </w:r>
          </w:p>
        </w:tc>
        <w:tc>
          <w:tcPr>
            <w:tcW w:w="958" w:type="pct"/>
            <w:shd w:val="clear" w:color="auto" w:fill="auto"/>
            <w:vAlign w:val="center"/>
          </w:tcPr>
          <w:p w14:paraId="3EF520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绿地率达到规划指标105%及以上，得10分；</w:t>
            </w:r>
          </w:p>
        </w:tc>
        <w:tc>
          <w:tcPr>
            <w:tcW w:w="328" w:type="pct"/>
            <w:vMerge w:val="restart"/>
            <w:shd w:val="clear" w:color="auto" w:fill="auto"/>
            <w:vAlign w:val="center"/>
          </w:tcPr>
          <w:p w14:paraId="26D7DC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vMerge w:val="restart"/>
            <w:shd w:val="clear" w:color="auto" w:fill="auto"/>
            <w:vAlign w:val="center"/>
          </w:tcPr>
          <w:p w14:paraId="7377BB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246" w:type="pct"/>
            <w:shd w:val="clear" w:color="auto" w:fill="auto"/>
            <w:vAlign w:val="center"/>
          </w:tcPr>
          <w:p w14:paraId="372099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5FDF0A92">
            <w:pPr>
              <w:jc w:val="left"/>
              <w:rPr>
                <w:rFonts w:hint="eastAsia" w:ascii="宋体" w:hAnsi="宋体" w:eastAsia="宋体" w:cs="宋体"/>
                <w:i w:val="0"/>
                <w:iCs w:val="0"/>
                <w:color w:val="000000"/>
                <w:sz w:val="21"/>
                <w:szCs w:val="21"/>
                <w:u w:val="none"/>
              </w:rPr>
            </w:pPr>
          </w:p>
        </w:tc>
      </w:tr>
      <w:tr w14:paraId="6CA2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37" w:type="pct"/>
            <w:vMerge w:val="continue"/>
            <w:shd w:val="clear" w:color="auto" w:fill="auto"/>
            <w:vAlign w:val="center"/>
          </w:tcPr>
          <w:p w14:paraId="7294EAAE">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763F0BB8">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1E3F7F2B">
            <w:pPr>
              <w:jc w:val="center"/>
              <w:rPr>
                <w:rFonts w:hint="eastAsia" w:ascii="宋体" w:hAnsi="宋体" w:eastAsia="宋体" w:cs="宋体"/>
                <w:i w:val="0"/>
                <w:iCs w:val="0"/>
                <w:color w:val="000000"/>
                <w:sz w:val="21"/>
                <w:szCs w:val="21"/>
                <w:u w:val="none"/>
              </w:rPr>
            </w:pPr>
          </w:p>
        </w:tc>
        <w:tc>
          <w:tcPr>
            <w:tcW w:w="328" w:type="pct"/>
            <w:vMerge w:val="continue"/>
            <w:shd w:val="clear" w:color="auto" w:fill="auto"/>
            <w:vAlign w:val="center"/>
          </w:tcPr>
          <w:p w14:paraId="7CCE53C7">
            <w:pPr>
              <w:jc w:val="center"/>
              <w:rPr>
                <w:rFonts w:hint="eastAsia" w:ascii="宋体" w:hAnsi="宋体" w:eastAsia="宋体" w:cs="宋体"/>
                <w:i w:val="0"/>
                <w:iCs w:val="0"/>
                <w:color w:val="000000"/>
                <w:sz w:val="21"/>
                <w:szCs w:val="21"/>
                <w:u w:val="none"/>
              </w:rPr>
            </w:pPr>
          </w:p>
        </w:tc>
        <w:tc>
          <w:tcPr>
            <w:tcW w:w="249" w:type="pct"/>
            <w:vMerge w:val="continue"/>
            <w:shd w:val="clear" w:color="auto" w:fill="auto"/>
            <w:vAlign w:val="center"/>
          </w:tcPr>
          <w:p w14:paraId="04B6BC1D">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1E72A5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住宅建筑所在居住街坊内人均集中绿地面积，按表8.2.3的规则评分，最 高得6分。</w:t>
            </w:r>
          </w:p>
        </w:tc>
        <w:tc>
          <w:tcPr>
            <w:tcW w:w="328" w:type="pct"/>
            <w:vMerge w:val="continue"/>
            <w:shd w:val="clear" w:color="auto" w:fill="auto"/>
            <w:vAlign w:val="center"/>
          </w:tcPr>
          <w:p w14:paraId="7575BB92">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00C022D1">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15843F7F">
            <w:pPr>
              <w:jc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5C5804AD">
            <w:pPr>
              <w:rPr>
                <w:rFonts w:hint="eastAsia" w:ascii="等线" w:hAnsi="等线" w:eastAsia="等线" w:cs="等线"/>
                <w:i w:val="0"/>
                <w:iCs w:val="0"/>
                <w:color w:val="000000"/>
                <w:sz w:val="21"/>
                <w:szCs w:val="21"/>
                <w:u w:val="none"/>
              </w:rPr>
            </w:pPr>
          </w:p>
        </w:tc>
      </w:tr>
      <w:tr w14:paraId="37D8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37" w:type="pct"/>
            <w:vMerge w:val="continue"/>
            <w:shd w:val="clear" w:color="auto" w:fill="auto"/>
            <w:vAlign w:val="center"/>
          </w:tcPr>
          <w:p w14:paraId="339079F2">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2BA9CA3A">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4E88B6C5">
            <w:pPr>
              <w:jc w:val="center"/>
              <w:rPr>
                <w:rFonts w:hint="eastAsia" w:ascii="宋体" w:hAnsi="宋体" w:eastAsia="宋体" w:cs="宋体"/>
                <w:i w:val="0"/>
                <w:iCs w:val="0"/>
                <w:color w:val="000000"/>
                <w:sz w:val="21"/>
                <w:szCs w:val="21"/>
                <w:u w:val="none"/>
              </w:rPr>
            </w:pPr>
          </w:p>
        </w:tc>
        <w:tc>
          <w:tcPr>
            <w:tcW w:w="328" w:type="pct"/>
            <w:vMerge w:val="continue"/>
            <w:shd w:val="clear" w:color="auto" w:fill="auto"/>
            <w:vAlign w:val="center"/>
          </w:tcPr>
          <w:p w14:paraId="04E52B9D">
            <w:pPr>
              <w:jc w:val="center"/>
              <w:rPr>
                <w:rFonts w:hint="eastAsia" w:ascii="宋体" w:hAnsi="宋体" w:eastAsia="宋体" w:cs="宋体"/>
                <w:i w:val="0"/>
                <w:iCs w:val="0"/>
                <w:color w:val="000000"/>
                <w:sz w:val="21"/>
                <w:szCs w:val="21"/>
                <w:u w:val="none"/>
              </w:rPr>
            </w:pPr>
          </w:p>
        </w:tc>
        <w:tc>
          <w:tcPr>
            <w:tcW w:w="249" w:type="pct"/>
            <w:vMerge w:val="restart"/>
            <w:shd w:val="clear" w:color="auto" w:fill="auto"/>
            <w:vAlign w:val="center"/>
          </w:tcPr>
          <w:p w14:paraId="219888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2公共建筑按下列规则分别评分并累计：</w:t>
            </w:r>
          </w:p>
        </w:tc>
        <w:tc>
          <w:tcPr>
            <w:tcW w:w="958" w:type="pct"/>
            <w:shd w:val="clear" w:color="auto" w:fill="auto"/>
            <w:vAlign w:val="center"/>
          </w:tcPr>
          <w:p w14:paraId="13EA43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公共建筑绿地率达到规划指标105%及以上，得10分；</w:t>
            </w:r>
          </w:p>
        </w:tc>
        <w:tc>
          <w:tcPr>
            <w:tcW w:w="328" w:type="pct"/>
            <w:vMerge w:val="continue"/>
            <w:shd w:val="clear" w:color="auto" w:fill="auto"/>
            <w:vAlign w:val="center"/>
          </w:tcPr>
          <w:p w14:paraId="2FD4E22C">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382F8ADC">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588F81EE">
            <w:pPr>
              <w:jc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6F3C5B65">
            <w:pPr>
              <w:rPr>
                <w:rFonts w:hint="eastAsia" w:ascii="等线" w:hAnsi="等线" w:eastAsia="等线" w:cs="等线"/>
                <w:i w:val="0"/>
                <w:iCs w:val="0"/>
                <w:color w:val="000000"/>
                <w:sz w:val="21"/>
                <w:szCs w:val="21"/>
                <w:u w:val="none"/>
              </w:rPr>
            </w:pPr>
          </w:p>
        </w:tc>
      </w:tr>
      <w:tr w14:paraId="233D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 w:hRule="atLeast"/>
        </w:trPr>
        <w:tc>
          <w:tcPr>
            <w:tcW w:w="537" w:type="pct"/>
            <w:vMerge w:val="continue"/>
            <w:shd w:val="clear" w:color="auto" w:fill="auto"/>
            <w:vAlign w:val="center"/>
          </w:tcPr>
          <w:p w14:paraId="05B39004">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54DB934D">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7079BC6F">
            <w:pPr>
              <w:jc w:val="center"/>
              <w:rPr>
                <w:rFonts w:hint="eastAsia" w:ascii="宋体" w:hAnsi="宋体" w:eastAsia="宋体" w:cs="宋体"/>
                <w:i w:val="0"/>
                <w:iCs w:val="0"/>
                <w:color w:val="000000"/>
                <w:sz w:val="21"/>
                <w:szCs w:val="21"/>
                <w:u w:val="none"/>
              </w:rPr>
            </w:pPr>
          </w:p>
        </w:tc>
        <w:tc>
          <w:tcPr>
            <w:tcW w:w="328" w:type="pct"/>
            <w:vMerge w:val="continue"/>
            <w:shd w:val="clear" w:color="auto" w:fill="auto"/>
            <w:vAlign w:val="center"/>
          </w:tcPr>
          <w:p w14:paraId="5BAF722E">
            <w:pPr>
              <w:jc w:val="center"/>
              <w:rPr>
                <w:rFonts w:hint="eastAsia" w:ascii="宋体" w:hAnsi="宋体" w:eastAsia="宋体" w:cs="宋体"/>
                <w:i w:val="0"/>
                <w:iCs w:val="0"/>
                <w:color w:val="000000"/>
                <w:sz w:val="21"/>
                <w:szCs w:val="21"/>
                <w:u w:val="none"/>
              </w:rPr>
            </w:pPr>
          </w:p>
        </w:tc>
        <w:tc>
          <w:tcPr>
            <w:tcW w:w="249" w:type="pct"/>
            <w:vMerge w:val="continue"/>
            <w:shd w:val="clear" w:color="auto" w:fill="auto"/>
            <w:vAlign w:val="center"/>
          </w:tcPr>
          <w:p w14:paraId="13DBAF41">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16F4BC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绿地向公众开放，得6分。</w:t>
            </w:r>
          </w:p>
        </w:tc>
        <w:tc>
          <w:tcPr>
            <w:tcW w:w="328" w:type="pct"/>
            <w:vMerge w:val="continue"/>
            <w:shd w:val="clear" w:color="auto" w:fill="auto"/>
            <w:vAlign w:val="center"/>
          </w:tcPr>
          <w:p w14:paraId="227BA714">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6CF46FAF">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292D50C9">
            <w:pPr>
              <w:jc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2CAE5310">
            <w:pPr>
              <w:rPr>
                <w:rFonts w:hint="eastAsia" w:ascii="等线" w:hAnsi="等线" w:eastAsia="等线" w:cs="等线"/>
                <w:i w:val="0"/>
                <w:iCs w:val="0"/>
                <w:color w:val="000000"/>
                <w:sz w:val="21"/>
                <w:szCs w:val="21"/>
                <w:u w:val="none"/>
              </w:rPr>
            </w:pPr>
          </w:p>
        </w:tc>
      </w:tr>
      <w:tr w14:paraId="505D1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537" w:type="pct"/>
            <w:vMerge w:val="restart"/>
            <w:shd w:val="clear" w:color="auto" w:fill="auto"/>
            <w:vAlign w:val="center"/>
          </w:tcPr>
          <w:p w14:paraId="5A5E26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环境宜居</w:t>
            </w:r>
          </w:p>
        </w:tc>
        <w:tc>
          <w:tcPr>
            <w:tcW w:w="292" w:type="pct"/>
            <w:vMerge w:val="restart"/>
            <w:shd w:val="clear" w:color="auto" w:fill="auto"/>
            <w:vAlign w:val="center"/>
          </w:tcPr>
          <w:p w14:paraId="365D37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08F544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8.2.4</w:t>
            </w:r>
          </w:p>
        </w:tc>
        <w:tc>
          <w:tcPr>
            <w:tcW w:w="578" w:type="pct"/>
            <w:gridSpan w:val="2"/>
            <w:vMerge w:val="restart"/>
            <w:shd w:val="clear" w:color="auto" w:fill="auto"/>
            <w:vAlign w:val="center"/>
          </w:tcPr>
          <w:p w14:paraId="4CB317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室外吸烟区位置布局合理。</w:t>
            </w:r>
          </w:p>
        </w:tc>
        <w:tc>
          <w:tcPr>
            <w:tcW w:w="958" w:type="pct"/>
            <w:shd w:val="clear" w:color="auto" w:fill="auto"/>
            <w:vAlign w:val="center"/>
          </w:tcPr>
          <w:p w14:paraId="6F04D0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1室外吸烟区布置在建筑主出入口的主导风的下风向，与所有建筑出入口、 新风进气口和可开启窗扇的距离不少于8m,且距离儿童和老人活动场地不少于8m,得5分；</w:t>
            </w:r>
          </w:p>
        </w:tc>
        <w:tc>
          <w:tcPr>
            <w:tcW w:w="328" w:type="pct"/>
            <w:shd w:val="clear" w:color="auto" w:fill="auto"/>
            <w:vAlign w:val="center"/>
          </w:tcPr>
          <w:p w14:paraId="2D824D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vMerge w:val="restart"/>
            <w:shd w:val="clear" w:color="auto" w:fill="auto"/>
            <w:vAlign w:val="center"/>
          </w:tcPr>
          <w:p w14:paraId="1C816A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46" w:type="pct"/>
            <w:shd w:val="clear" w:color="auto" w:fill="auto"/>
            <w:vAlign w:val="center"/>
          </w:tcPr>
          <w:p w14:paraId="14B09B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4AA980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1F49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537" w:type="pct"/>
            <w:vMerge w:val="continue"/>
            <w:shd w:val="clear" w:color="auto" w:fill="auto"/>
            <w:vAlign w:val="center"/>
          </w:tcPr>
          <w:p w14:paraId="4156A70B">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2738627E">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0C6A144F">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5F38E3D0">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65EC75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2室外吸烟区与绿植结合布置，并合理配置坐椅和带烟头收集的垃圾筒，从 建筑主岀入口至室外吸烟区的导向标识完整、定位标识醒目，吸烟区设置吸烟有 害健康的警示标识，得4分。</w:t>
            </w:r>
          </w:p>
        </w:tc>
        <w:tc>
          <w:tcPr>
            <w:tcW w:w="328" w:type="pct"/>
            <w:shd w:val="clear" w:color="auto" w:fill="auto"/>
            <w:vAlign w:val="center"/>
          </w:tcPr>
          <w:p w14:paraId="3DF5DE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vMerge w:val="continue"/>
            <w:shd w:val="clear" w:color="auto" w:fill="auto"/>
            <w:vAlign w:val="center"/>
          </w:tcPr>
          <w:p w14:paraId="1881E895">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147F98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5DE7C2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0A68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537" w:type="pct"/>
            <w:vMerge w:val="restart"/>
            <w:shd w:val="clear" w:color="auto" w:fill="auto"/>
            <w:vAlign w:val="center"/>
          </w:tcPr>
          <w:p w14:paraId="07E00F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环境宜居</w:t>
            </w:r>
          </w:p>
        </w:tc>
        <w:tc>
          <w:tcPr>
            <w:tcW w:w="292" w:type="pct"/>
            <w:vMerge w:val="restart"/>
            <w:shd w:val="clear" w:color="auto" w:fill="auto"/>
            <w:vAlign w:val="center"/>
          </w:tcPr>
          <w:p w14:paraId="2EA07C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569921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8.2.5</w:t>
            </w:r>
          </w:p>
        </w:tc>
        <w:tc>
          <w:tcPr>
            <w:tcW w:w="578" w:type="pct"/>
            <w:gridSpan w:val="2"/>
            <w:vMerge w:val="restart"/>
            <w:shd w:val="clear" w:color="auto" w:fill="auto"/>
            <w:vAlign w:val="center"/>
          </w:tcPr>
          <w:p w14:paraId="177A26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利用场地空间设置绿色雨水基础设施，汇集场地径流进入设施，有效实现雨水的滞蓄与入渗，</w:t>
            </w:r>
          </w:p>
        </w:tc>
        <w:tc>
          <w:tcPr>
            <w:tcW w:w="958" w:type="pct"/>
            <w:shd w:val="clear" w:color="auto" w:fill="auto"/>
            <w:vAlign w:val="center"/>
          </w:tcPr>
          <w:p w14:paraId="565E3D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1下凹式绿地、雨水花园等有调蓄雨水功能的绿地和水体的面积之和占绿 地面积的比例达到40%,得3分；达到60%,得5分；</w:t>
            </w:r>
          </w:p>
        </w:tc>
        <w:tc>
          <w:tcPr>
            <w:tcW w:w="328" w:type="pct"/>
            <w:shd w:val="clear" w:color="auto" w:fill="auto"/>
            <w:vAlign w:val="center"/>
          </w:tcPr>
          <w:p w14:paraId="7C0CB3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给排水、海绵、景观</w:t>
            </w:r>
          </w:p>
        </w:tc>
        <w:tc>
          <w:tcPr>
            <w:tcW w:w="310" w:type="pct"/>
            <w:vMerge w:val="restart"/>
            <w:shd w:val="clear" w:color="auto" w:fill="auto"/>
            <w:vAlign w:val="center"/>
          </w:tcPr>
          <w:p w14:paraId="589AF9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246" w:type="pct"/>
            <w:shd w:val="clear" w:color="auto" w:fill="auto"/>
            <w:vAlign w:val="center"/>
          </w:tcPr>
          <w:p w14:paraId="00A8DB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318DE4F5">
            <w:pPr>
              <w:rPr>
                <w:rFonts w:hint="eastAsia" w:ascii="等线" w:hAnsi="等线" w:eastAsia="等线" w:cs="等线"/>
                <w:i w:val="0"/>
                <w:iCs w:val="0"/>
                <w:color w:val="000000"/>
                <w:sz w:val="21"/>
                <w:szCs w:val="21"/>
                <w:u w:val="none"/>
              </w:rPr>
            </w:pPr>
          </w:p>
        </w:tc>
      </w:tr>
      <w:tr w14:paraId="7CCA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537" w:type="pct"/>
            <w:vMerge w:val="continue"/>
            <w:shd w:val="clear" w:color="auto" w:fill="auto"/>
            <w:vAlign w:val="center"/>
          </w:tcPr>
          <w:p w14:paraId="5ACBA701">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00700DF0">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2592651C">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3B2E7D81">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44FF9A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2衔接和引导不少于80%的屋面雨水进入地面生态设施，得3分；</w:t>
            </w:r>
          </w:p>
        </w:tc>
        <w:tc>
          <w:tcPr>
            <w:tcW w:w="328" w:type="pct"/>
            <w:shd w:val="clear" w:color="auto" w:fill="auto"/>
            <w:vAlign w:val="center"/>
          </w:tcPr>
          <w:p w14:paraId="3D2126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给排水、海绵、景观</w:t>
            </w:r>
          </w:p>
        </w:tc>
        <w:tc>
          <w:tcPr>
            <w:tcW w:w="310" w:type="pct"/>
            <w:vMerge w:val="continue"/>
            <w:shd w:val="clear" w:color="auto" w:fill="auto"/>
            <w:vAlign w:val="center"/>
          </w:tcPr>
          <w:p w14:paraId="7EAF1921">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1E562A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17A587CB">
            <w:pPr>
              <w:rPr>
                <w:rFonts w:hint="eastAsia" w:ascii="等线" w:hAnsi="等线" w:eastAsia="等线" w:cs="等线"/>
                <w:i w:val="0"/>
                <w:iCs w:val="0"/>
                <w:color w:val="000000"/>
                <w:sz w:val="21"/>
                <w:szCs w:val="21"/>
                <w:u w:val="none"/>
              </w:rPr>
            </w:pPr>
          </w:p>
        </w:tc>
      </w:tr>
      <w:tr w14:paraId="18B5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537" w:type="pct"/>
            <w:vMerge w:val="continue"/>
            <w:shd w:val="clear" w:color="auto" w:fill="auto"/>
            <w:vAlign w:val="center"/>
          </w:tcPr>
          <w:p w14:paraId="63F50643">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2BA505F2">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2578DB63">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75D606A8">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2D368B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3衔接和引导不少于80%的道路雨水进入地面生态设施，得4分；</w:t>
            </w:r>
          </w:p>
        </w:tc>
        <w:tc>
          <w:tcPr>
            <w:tcW w:w="328" w:type="pct"/>
            <w:shd w:val="clear" w:color="auto" w:fill="auto"/>
            <w:vAlign w:val="center"/>
          </w:tcPr>
          <w:p w14:paraId="13028E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给排水、海绵、景观</w:t>
            </w:r>
          </w:p>
        </w:tc>
        <w:tc>
          <w:tcPr>
            <w:tcW w:w="310" w:type="pct"/>
            <w:vMerge w:val="continue"/>
            <w:shd w:val="clear" w:color="auto" w:fill="auto"/>
            <w:vAlign w:val="center"/>
          </w:tcPr>
          <w:p w14:paraId="42F6ED4F">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7FE38A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00ABE273">
            <w:pPr>
              <w:rPr>
                <w:rFonts w:hint="eastAsia" w:ascii="等线" w:hAnsi="等线" w:eastAsia="等线" w:cs="等线"/>
                <w:i w:val="0"/>
                <w:iCs w:val="0"/>
                <w:color w:val="000000"/>
                <w:sz w:val="21"/>
                <w:szCs w:val="21"/>
                <w:u w:val="none"/>
              </w:rPr>
            </w:pPr>
          </w:p>
        </w:tc>
      </w:tr>
      <w:tr w14:paraId="14F1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5" w:hRule="atLeast"/>
        </w:trPr>
        <w:tc>
          <w:tcPr>
            <w:tcW w:w="537" w:type="pct"/>
            <w:vMerge w:val="continue"/>
            <w:shd w:val="clear" w:color="auto" w:fill="auto"/>
            <w:vAlign w:val="center"/>
          </w:tcPr>
          <w:p w14:paraId="4775FE44">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45C9664C">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3EE2E572">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088D88E1">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7E6433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4硬质铺装地面中透水铺装面积的比例达到50%,得3分。</w:t>
            </w:r>
          </w:p>
        </w:tc>
        <w:tc>
          <w:tcPr>
            <w:tcW w:w="328" w:type="pct"/>
            <w:shd w:val="clear" w:color="auto" w:fill="auto"/>
            <w:vAlign w:val="center"/>
          </w:tcPr>
          <w:p w14:paraId="40FF75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给排水、海绵、景观</w:t>
            </w:r>
          </w:p>
        </w:tc>
        <w:tc>
          <w:tcPr>
            <w:tcW w:w="310" w:type="pct"/>
            <w:vMerge w:val="continue"/>
            <w:shd w:val="clear" w:color="auto" w:fill="auto"/>
            <w:vAlign w:val="center"/>
          </w:tcPr>
          <w:p w14:paraId="6FBBBE32">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6B06AF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2F9C2C41">
            <w:pPr>
              <w:rPr>
                <w:rFonts w:hint="eastAsia" w:ascii="等线" w:hAnsi="等线" w:eastAsia="等线" w:cs="等线"/>
                <w:i w:val="0"/>
                <w:iCs w:val="0"/>
                <w:color w:val="000000"/>
                <w:sz w:val="21"/>
                <w:szCs w:val="21"/>
                <w:u w:val="none"/>
              </w:rPr>
            </w:pPr>
          </w:p>
        </w:tc>
      </w:tr>
      <w:tr w14:paraId="40C4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537" w:type="pct"/>
            <w:vMerge w:val="restart"/>
            <w:shd w:val="clear" w:color="auto" w:fill="auto"/>
            <w:vAlign w:val="center"/>
          </w:tcPr>
          <w:p w14:paraId="0E7E45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环境宜居</w:t>
            </w:r>
          </w:p>
        </w:tc>
        <w:tc>
          <w:tcPr>
            <w:tcW w:w="292" w:type="pct"/>
            <w:vMerge w:val="restart"/>
            <w:shd w:val="clear" w:color="auto" w:fill="auto"/>
            <w:vAlign w:val="center"/>
          </w:tcPr>
          <w:p w14:paraId="5AF282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3FC010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8.2.6</w:t>
            </w:r>
          </w:p>
        </w:tc>
        <w:tc>
          <w:tcPr>
            <w:tcW w:w="578" w:type="pct"/>
            <w:gridSpan w:val="2"/>
            <w:vMerge w:val="restart"/>
            <w:shd w:val="clear" w:color="auto" w:fill="auto"/>
            <w:vAlign w:val="center"/>
          </w:tcPr>
          <w:p w14:paraId="22DA27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场地内的环境噪声优于现行国家标准《声环境质量标准》GB 3096的要求。</w:t>
            </w:r>
          </w:p>
        </w:tc>
        <w:tc>
          <w:tcPr>
            <w:tcW w:w="958" w:type="pct"/>
            <w:shd w:val="clear" w:color="auto" w:fill="auto"/>
            <w:vAlign w:val="center"/>
          </w:tcPr>
          <w:p w14:paraId="1A1C29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环境噪声值大于2类声环境功能区噪声等效声级限值，且小于等于 3 类声环境功能区噪声等效声级限值，得5分；</w:t>
            </w:r>
          </w:p>
        </w:tc>
        <w:tc>
          <w:tcPr>
            <w:tcW w:w="328" w:type="pct"/>
            <w:vMerge w:val="restart"/>
            <w:shd w:val="clear" w:color="auto" w:fill="auto"/>
            <w:vAlign w:val="center"/>
          </w:tcPr>
          <w:p w14:paraId="1146CC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建筑、物理</w:t>
            </w:r>
          </w:p>
        </w:tc>
        <w:tc>
          <w:tcPr>
            <w:tcW w:w="310" w:type="pct"/>
            <w:vMerge w:val="restart"/>
            <w:shd w:val="clear" w:color="auto" w:fill="auto"/>
            <w:vAlign w:val="center"/>
          </w:tcPr>
          <w:p w14:paraId="18F248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 w:type="pct"/>
            <w:shd w:val="clear" w:color="auto" w:fill="auto"/>
            <w:vAlign w:val="center"/>
          </w:tcPr>
          <w:p w14:paraId="237319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04EEE7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A1E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537" w:type="pct"/>
            <w:vMerge w:val="continue"/>
            <w:shd w:val="clear" w:color="auto" w:fill="auto"/>
            <w:vAlign w:val="center"/>
          </w:tcPr>
          <w:p w14:paraId="673E50DC">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477101B5">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42E1A9AD">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11114BD7">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1688C5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 环境噪声值小于等于 2 类声环境功能区噪声等效声级限值，得10 分。</w:t>
            </w:r>
          </w:p>
        </w:tc>
        <w:tc>
          <w:tcPr>
            <w:tcW w:w="328" w:type="pct"/>
            <w:vMerge w:val="continue"/>
            <w:shd w:val="clear" w:color="auto" w:fill="auto"/>
            <w:vAlign w:val="center"/>
          </w:tcPr>
          <w:p w14:paraId="136844F7">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55CE53CB">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3CCE4C24">
            <w:pPr>
              <w:jc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3B080A65">
            <w:pPr>
              <w:rPr>
                <w:rFonts w:hint="eastAsia" w:ascii="等线" w:hAnsi="等线" w:eastAsia="等线" w:cs="等线"/>
                <w:i w:val="0"/>
                <w:iCs w:val="0"/>
                <w:color w:val="000000"/>
                <w:sz w:val="21"/>
                <w:szCs w:val="21"/>
                <w:u w:val="none"/>
              </w:rPr>
            </w:pPr>
          </w:p>
        </w:tc>
      </w:tr>
      <w:tr w14:paraId="4EF9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37" w:type="pct"/>
            <w:vMerge w:val="restart"/>
            <w:shd w:val="clear" w:color="auto" w:fill="auto"/>
            <w:vAlign w:val="center"/>
          </w:tcPr>
          <w:p w14:paraId="0325F7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环境宜居</w:t>
            </w:r>
          </w:p>
        </w:tc>
        <w:tc>
          <w:tcPr>
            <w:tcW w:w="292" w:type="pct"/>
            <w:vMerge w:val="restart"/>
            <w:shd w:val="clear" w:color="auto" w:fill="auto"/>
            <w:vAlign w:val="center"/>
          </w:tcPr>
          <w:p w14:paraId="6AD78B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1A1319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8.2.7</w:t>
            </w:r>
          </w:p>
        </w:tc>
        <w:tc>
          <w:tcPr>
            <w:tcW w:w="578" w:type="pct"/>
            <w:gridSpan w:val="2"/>
            <w:vMerge w:val="restart"/>
            <w:shd w:val="clear" w:color="auto" w:fill="auto"/>
            <w:vAlign w:val="center"/>
          </w:tcPr>
          <w:p w14:paraId="44B0A0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建筑室外照明及室外显示屏避免产生光污染，评价总分值为10分</w:t>
            </w:r>
          </w:p>
        </w:tc>
        <w:tc>
          <w:tcPr>
            <w:tcW w:w="958" w:type="pct"/>
            <w:shd w:val="clear" w:color="auto" w:fill="auto"/>
            <w:vAlign w:val="center"/>
          </w:tcPr>
          <w:p w14:paraId="40170E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在居住空间窗户外表面产生的垂直照度不大于表8.2.7-1规定的最大允许值，得5分。</w:t>
            </w:r>
          </w:p>
        </w:tc>
        <w:tc>
          <w:tcPr>
            <w:tcW w:w="328" w:type="pct"/>
            <w:shd w:val="clear" w:color="auto" w:fill="auto"/>
            <w:vAlign w:val="center"/>
          </w:tcPr>
          <w:p w14:paraId="63CA45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vMerge w:val="restart"/>
            <w:shd w:val="clear" w:color="auto" w:fill="auto"/>
            <w:vAlign w:val="center"/>
          </w:tcPr>
          <w:p w14:paraId="501410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 w:type="pct"/>
            <w:shd w:val="clear" w:color="auto" w:fill="auto"/>
            <w:vAlign w:val="center"/>
          </w:tcPr>
          <w:p w14:paraId="01A3C4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6E7B9798">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1D6F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537" w:type="pct"/>
            <w:vMerge w:val="continue"/>
            <w:shd w:val="clear" w:color="auto" w:fill="auto"/>
            <w:vAlign w:val="center"/>
          </w:tcPr>
          <w:p w14:paraId="0034AD5D">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010750D7">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60877C45">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6C85432C">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201A63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 建筑室外设置的显示屏表面平均亮度不大于表8.2.7-2规定的限值，且车道和人行道两侧未设置动态模式显示屏，得5分。</w:t>
            </w:r>
          </w:p>
        </w:tc>
        <w:tc>
          <w:tcPr>
            <w:tcW w:w="328" w:type="pct"/>
            <w:shd w:val="clear" w:color="auto" w:fill="auto"/>
            <w:vAlign w:val="center"/>
          </w:tcPr>
          <w:p w14:paraId="521D89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电气、景观</w:t>
            </w:r>
          </w:p>
        </w:tc>
        <w:tc>
          <w:tcPr>
            <w:tcW w:w="310" w:type="pct"/>
            <w:vMerge w:val="continue"/>
            <w:shd w:val="clear" w:color="auto" w:fill="auto"/>
            <w:vAlign w:val="center"/>
          </w:tcPr>
          <w:p w14:paraId="49B10478">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6E3F6D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47EE81CC">
            <w:pPr>
              <w:keepNext w:val="0"/>
              <w:keepLines w:val="0"/>
              <w:widowControl/>
              <w:suppressLineNumbers w:val="0"/>
              <w:jc w:val="left"/>
              <w:textAlignment w:val="center"/>
              <w:rPr>
                <w:rFonts w:hint="eastAsia" w:ascii="等线" w:hAnsi="等线" w:eastAsia="等线" w:cs="等线"/>
                <w:i w:val="0"/>
                <w:iCs w:val="0"/>
                <w:color w:val="000000"/>
                <w:sz w:val="21"/>
                <w:szCs w:val="21"/>
                <w:u w:val="none"/>
              </w:rPr>
            </w:pPr>
          </w:p>
        </w:tc>
      </w:tr>
      <w:tr w14:paraId="36A3F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537" w:type="pct"/>
            <w:vMerge w:val="restart"/>
            <w:shd w:val="clear" w:color="auto" w:fill="auto"/>
            <w:vAlign w:val="center"/>
          </w:tcPr>
          <w:p w14:paraId="068BB5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环境宜居</w:t>
            </w:r>
          </w:p>
        </w:tc>
        <w:tc>
          <w:tcPr>
            <w:tcW w:w="292" w:type="pct"/>
            <w:vMerge w:val="restart"/>
            <w:shd w:val="clear" w:color="auto" w:fill="auto"/>
            <w:vAlign w:val="center"/>
          </w:tcPr>
          <w:p w14:paraId="383A91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0851FC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8.2.8</w:t>
            </w:r>
          </w:p>
        </w:tc>
        <w:tc>
          <w:tcPr>
            <w:tcW w:w="328" w:type="pct"/>
            <w:vMerge w:val="restart"/>
            <w:shd w:val="clear" w:color="auto" w:fill="auto"/>
            <w:vAlign w:val="center"/>
          </w:tcPr>
          <w:p w14:paraId="69D4E0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场地内风环境有利于室外行走、活动舒适和建筑的自然通风。</w:t>
            </w:r>
          </w:p>
        </w:tc>
        <w:tc>
          <w:tcPr>
            <w:tcW w:w="249" w:type="pct"/>
            <w:vMerge w:val="restart"/>
            <w:shd w:val="clear" w:color="auto" w:fill="auto"/>
            <w:vAlign w:val="center"/>
          </w:tcPr>
          <w:p w14:paraId="5D27B6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1在冬季典型风速和风向条件下，按下列规则分别评分并累计：</w:t>
            </w:r>
          </w:p>
        </w:tc>
        <w:tc>
          <w:tcPr>
            <w:tcW w:w="958" w:type="pct"/>
            <w:shd w:val="clear" w:color="auto" w:fill="auto"/>
            <w:vAlign w:val="center"/>
          </w:tcPr>
          <w:p w14:paraId="77A39B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建筑物周围人行区距地高1.5m处风速小于5m/s,户外休息区、儿童娱乐 区风速小于2m/s,且室外风速放大系数小于2,得3分；</w:t>
            </w:r>
          </w:p>
        </w:tc>
        <w:tc>
          <w:tcPr>
            <w:tcW w:w="328" w:type="pct"/>
            <w:vMerge w:val="restart"/>
            <w:shd w:val="clear" w:color="auto" w:fill="auto"/>
            <w:vAlign w:val="center"/>
          </w:tcPr>
          <w:p w14:paraId="3FA6E6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建筑物理</w:t>
            </w:r>
          </w:p>
        </w:tc>
        <w:tc>
          <w:tcPr>
            <w:tcW w:w="310" w:type="pct"/>
            <w:vMerge w:val="restart"/>
            <w:shd w:val="clear" w:color="auto" w:fill="auto"/>
            <w:vAlign w:val="center"/>
          </w:tcPr>
          <w:p w14:paraId="7811C5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 w:type="pct"/>
            <w:shd w:val="clear" w:color="auto" w:fill="auto"/>
            <w:vAlign w:val="center"/>
          </w:tcPr>
          <w:p w14:paraId="4688F1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734790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71CC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537" w:type="pct"/>
            <w:vMerge w:val="continue"/>
            <w:shd w:val="clear" w:color="auto" w:fill="auto"/>
            <w:vAlign w:val="center"/>
          </w:tcPr>
          <w:p w14:paraId="569417B9">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6CB923F4">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29335927">
            <w:pPr>
              <w:jc w:val="center"/>
              <w:rPr>
                <w:rFonts w:hint="eastAsia" w:ascii="宋体" w:hAnsi="宋体" w:eastAsia="宋体" w:cs="宋体"/>
                <w:i w:val="0"/>
                <w:iCs w:val="0"/>
                <w:color w:val="000000"/>
                <w:sz w:val="21"/>
                <w:szCs w:val="21"/>
                <w:u w:val="none"/>
              </w:rPr>
            </w:pPr>
          </w:p>
        </w:tc>
        <w:tc>
          <w:tcPr>
            <w:tcW w:w="328" w:type="pct"/>
            <w:vMerge w:val="continue"/>
            <w:shd w:val="clear" w:color="auto" w:fill="auto"/>
            <w:vAlign w:val="center"/>
          </w:tcPr>
          <w:p w14:paraId="05AD7B77">
            <w:pPr>
              <w:jc w:val="center"/>
              <w:rPr>
                <w:rFonts w:hint="eastAsia" w:ascii="宋体" w:hAnsi="宋体" w:eastAsia="宋体" w:cs="宋体"/>
                <w:i w:val="0"/>
                <w:iCs w:val="0"/>
                <w:color w:val="000000"/>
                <w:sz w:val="21"/>
                <w:szCs w:val="21"/>
                <w:u w:val="none"/>
              </w:rPr>
            </w:pPr>
          </w:p>
        </w:tc>
        <w:tc>
          <w:tcPr>
            <w:tcW w:w="249" w:type="pct"/>
            <w:vMerge w:val="continue"/>
            <w:shd w:val="clear" w:color="auto" w:fill="auto"/>
            <w:vAlign w:val="center"/>
          </w:tcPr>
          <w:p w14:paraId="12C3B006">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29958F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 除迎风第一排建筑外，建筑迎风面与背风面表面风压差不大于5Pa,得2 分。</w:t>
            </w:r>
          </w:p>
        </w:tc>
        <w:tc>
          <w:tcPr>
            <w:tcW w:w="328" w:type="pct"/>
            <w:vMerge w:val="continue"/>
            <w:shd w:val="clear" w:color="auto" w:fill="auto"/>
            <w:vAlign w:val="center"/>
          </w:tcPr>
          <w:p w14:paraId="2A604E72">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4043ECD4">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21BE8D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356656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3C97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37" w:type="pct"/>
            <w:vMerge w:val="continue"/>
            <w:shd w:val="clear" w:color="auto" w:fill="auto"/>
            <w:vAlign w:val="center"/>
          </w:tcPr>
          <w:p w14:paraId="3153AC8E">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170ED7D9">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263A1896">
            <w:pPr>
              <w:jc w:val="center"/>
              <w:rPr>
                <w:rFonts w:hint="eastAsia" w:ascii="宋体" w:hAnsi="宋体" w:eastAsia="宋体" w:cs="宋体"/>
                <w:i w:val="0"/>
                <w:iCs w:val="0"/>
                <w:color w:val="000000"/>
                <w:sz w:val="21"/>
                <w:szCs w:val="21"/>
                <w:u w:val="none"/>
              </w:rPr>
            </w:pPr>
          </w:p>
        </w:tc>
        <w:tc>
          <w:tcPr>
            <w:tcW w:w="328" w:type="pct"/>
            <w:vMerge w:val="continue"/>
            <w:shd w:val="clear" w:color="auto" w:fill="auto"/>
            <w:vAlign w:val="center"/>
          </w:tcPr>
          <w:p w14:paraId="5150D12A">
            <w:pPr>
              <w:jc w:val="center"/>
              <w:rPr>
                <w:rFonts w:hint="eastAsia" w:ascii="宋体" w:hAnsi="宋体" w:eastAsia="宋体" w:cs="宋体"/>
                <w:i w:val="0"/>
                <w:iCs w:val="0"/>
                <w:color w:val="000000"/>
                <w:sz w:val="21"/>
                <w:szCs w:val="21"/>
                <w:u w:val="none"/>
              </w:rPr>
            </w:pPr>
          </w:p>
        </w:tc>
        <w:tc>
          <w:tcPr>
            <w:tcW w:w="249" w:type="pct"/>
            <w:vMerge w:val="restart"/>
            <w:shd w:val="clear" w:color="auto" w:fill="auto"/>
            <w:vAlign w:val="center"/>
          </w:tcPr>
          <w:p w14:paraId="4CFADC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2过渡季、夏季典型风速和风向条件下，按下列规则分别评分并累计：</w:t>
            </w:r>
          </w:p>
        </w:tc>
        <w:tc>
          <w:tcPr>
            <w:tcW w:w="958" w:type="pct"/>
            <w:shd w:val="clear" w:color="auto" w:fill="auto"/>
            <w:vAlign w:val="center"/>
          </w:tcPr>
          <w:p w14:paraId="63A1A1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场地内人活动区不出现涡旋或无风区，得3分；</w:t>
            </w:r>
          </w:p>
        </w:tc>
        <w:tc>
          <w:tcPr>
            <w:tcW w:w="328" w:type="pct"/>
            <w:vMerge w:val="continue"/>
            <w:shd w:val="clear" w:color="auto" w:fill="auto"/>
            <w:vAlign w:val="center"/>
          </w:tcPr>
          <w:p w14:paraId="51523F7F">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78E4ED4E">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09A110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5F2296AC">
            <w:pPr>
              <w:rPr>
                <w:rFonts w:hint="eastAsia" w:ascii="等线" w:hAnsi="等线" w:eastAsia="等线" w:cs="等线"/>
                <w:i w:val="0"/>
                <w:iCs w:val="0"/>
                <w:color w:val="000000"/>
                <w:sz w:val="21"/>
                <w:szCs w:val="21"/>
                <w:u w:val="none"/>
              </w:rPr>
            </w:pPr>
          </w:p>
        </w:tc>
      </w:tr>
      <w:tr w14:paraId="4433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5" w:hRule="atLeast"/>
        </w:trPr>
        <w:tc>
          <w:tcPr>
            <w:tcW w:w="537" w:type="pct"/>
            <w:vMerge w:val="continue"/>
            <w:shd w:val="clear" w:color="auto" w:fill="auto"/>
            <w:vAlign w:val="center"/>
          </w:tcPr>
          <w:p w14:paraId="3F995B81">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1AC61079">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42F8BE6F">
            <w:pPr>
              <w:jc w:val="center"/>
              <w:rPr>
                <w:rFonts w:hint="eastAsia" w:ascii="宋体" w:hAnsi="宋体" w:eastAsia="宋体" w:cs="宋体"/>
                <w:i w:val="0"/>
                <w:iCs w:val="0"/>
                <w:color w:val="000000"/>
                <w:sz w:val="21"/>
                <w:szCs w:val="21"/>
                <w:u w:val="none"/>
              </w:rPr>
            </w:pPr>
          </w:p>
        </w:tc>
        <w:tc>
          <w:tcPr>
            <w:tcW w:w="328" w:type="pct"/>
            <w:vMerge w:val="continue"/>
            <w:shd w:val="clear" w:color="auto" w:fill="auto"/>
            <w:vAlign w:val="center"/>
          </w:tcPr>
          <w:p w14:paraId="10A54535">
            <w:pPr>
              <w:jc w:val="center"/>
              <w:rPr>
                <w:rFonts w:hint="eastAsia" w:ascii="宋体" w:hAnsi="宋体" w:eastAsia="宋体" w:cs="宋体"/>
                <w:i w:val="0"/>
                <w:iCs w:val="0"/>
                <w:color w:val="000000"/>
                <w:sz w:val="21"/>
                <w:szCs w:val="21"/>
                <w:u w:val="none"/>
              </w:rPr>
            </w:pPr>
          </w:p>
        </w:tc>
        <w:tc>
          <w:tcPr>
            <w:tcW w:w="249" w:type="pct"/>
            <w:vMerge w:val="continue"/>
            <w:shd w:val="clear" w:color="auto" w:fill="auto"/>
            <w:vAlign w:val="center"/>
          </w:tcPr>
          <w:p w14:paraId="3A413E81">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4CB327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 50%以上可开启外窗室内外表面的风压差大于0.5Pa,得2分。</w:t>
            </w:r>
          </w:p>
        </w:tc>
        <w:tc>
          <w:tcPr>
            <w:tcW w:w="328" w:type="pct"/>
            <w:vMerge w:val="continue"/>
            <w:shd w:val="clear" w:color="auto" w:fill="auto"/>
            <w:vAlign w:val="center"/>
          </w:tcPr>
          <w:p w14:paraId="1FDEB073">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784E4CEC">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7AD4AF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53EB01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7C1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trPr>
        <w:tc>
          <w:tcPr>
            <w:tcW w:w="537" w:type="pct"/>
            <w:vMerge w:val="restart"/>
            <w:shd w:val="clear" w:color="auto" w:fill="auto"/>
            <w:vAlign w:val="center"/>
          </w:tcPr>
          <w:p w14:paraId="391B08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 环境宜居</w:t>
            </w:r>
          </w:p>
        </w:tc>
        <w:tc>
          <w:tcPr>
            <w:tcW w:w="292" w:type="pct"/>
            <w:vMerge w:val="restart"/>
            <w:shd w:val="clear" w:color="auto" w:fill="auto"/>
            <w:vAlign w:val="center"/>
          </w:tcPr>
          <w:p w14:paraId="3253B9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评分项</w:t>
            </w:r>
          </w:p>
        </w:tc>
        <w:tc>
          <w:tcPr>
            <w:tcW w:w="346" w:type="pct"/>
            <w:vMerge w:val="restart"/>
            <w:shd w:val="clear" w:color="auto" w:fill="auto"/>
            <w:vAlign w:val="center"/>
          </w:tcPr>
          <w:p w14:paraId="372C1F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8.2.9</w:t>
            </w:r>
          </w:p>
        </w:tc>
        <w:tc>
          <w:tcPr>
            <w:tcW w:w="578" w:type="pct"/>
            <w:gridSpan w:val="2"/>
            <w:vMerge w:val="restart"/>
            <w:shd w:val="clear" w:color="auto" w:fill="auto"/>
            <w:vAlign w:val="center"/>
          </w:tcPr>
          <w:p w14:paraId="683171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采取措施降低热岛强度。</w:t>
            </w:r>
          </w:p>
        </w:tc>
        <w:tc>
          <w:tcPr>
            <w:tcW w:w="958" w:type="pct"/>
            <w:shd w:val="clear" w:color="auto" w:fill="auto"/>
            <w:vAlign w:val="center"/>
          </w:tcPr>
          <w:p w14:paraId="53F298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1场地中处于建筑阴影区外的步道、游憩场、庭院、广场等室外活动场地设 有乔木、花架等遮阴措施的面积比例，住宅建筑达到30%,公共建筑达到10%, 得2分；住宅建筑达到50%,公共建筑达到20%,得3分；</w:t>
            </w:r>
          </w:p>
        </w:tc>
        <w:tc>
          <w:tcPr>
            <w:tcW w:w="328" w:type="pct"/>
            <w:vMerge w:val="restart"/>
            <w:shd w:val="clear" w:color="auto" w:fill="auto"/>
            <w:vAlign w:val="center"/>
          </w:tcPr>
          <w:p w14:paraId="2594C1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建筑物理</w:t>
            </w:r>
          </w:p>
        </w:tc>
        <w:tc>
          <w:tcPr>
            <w:tcW w:w="310" w:type="pct"/>
            <w:vMerge w:val="restart"/>
            <w:shd w:val="clear" w:color="auto" w:fill="auto"/>
            <w:vAlign w:val="center"/>
          </w:tcPr>
          <w:p w14:paraId="4F47FD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 w:type="pct"/>
            <w:shd w:val="clear" w:color="auto" w:fill="auto"/>
            <w:vAlign w:val="center"/>
          </w:tcPr>
          <w:p w14:paraId="5E5591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43E57CFD">
            <w:pPr>
              <w:rPr>
                <w:rFonts w:hint="eastAsia" w:ascii="宋体" w:hAnsi="宋体" w:eastAsia="宋体" w:cs="宋体"/>
                <w:i w:val="0"/>
                <w:iCs w:val="0"/>
                <w:color w:val="000000"/>
                <w:sz w:val="21"/>
                <w:szCs w:val="21"/>
                <w:u w:val="none"/>
              </w:rPr>
            </w:pPr>
          </w:p>
        </w:tc>
      </w:tr>
      <w:tr w14:paraId="5AA1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537" w:type="pct"/>
            <w:vMerge w:val="continue"/>
            <w:shd w:val="clear" w:color="auto" w:fill="auto"/>
            <w:vAlign w:val="center"/>
          </w:tcPr>
          <w:p w14:paraId="15AFA62E">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4AEF823E">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6BCB8057">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35E57E8A">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3103D7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2场地中处于建筑阴影区外的机动车道设有遮阴面积较大的行道树的路段长度超过70%，得3分；</w:t>
            </w:r>
          </w:p>
        </w:tc>
        <w:tc>
          <w:tcPr>
            <w:tcW w:w="328" w:type="pct"/>
            <w:vMerge w:val="continue"/>
            <w:shd w:val="clear" w:color="auto" w:fill="auto"/>
            <w:vAlign w:val="center"/>
          </w:tcPr>
          <w:p w14:paraId="1B72ADEB">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6BDF57CA">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739657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59C90207">
            <w:pPr>
              <w:rPr>
                <w:rFonts w:hint="eastAsia" w:ascii="等线" w:hAnsi="等线" w:eastAsia="等线" w:cs="等线"/>
                <w:i w:val="0"/>
                <w:iCs w:val="0"/>
                <w:color w:val="000000"/>
                <w:sz w:val="21"/>
                <w:szCs w:val="21"/>
                <w:u w:val="none"/>
              </w:rPr>
            </w:pPr>
          </w:p>
        </w:tc>
      </w:tr>
      <w:tr w14:paraId="625B0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537" w:type="pct"/>
            <w:vMerge w:val="continue"/>
            <w:shd w:val="clear" w:color="auto" w:fill="auto"/>
            <w:vAlign w:val="center"/>
          </w:tcPr>
          <w:p w14:paraId="74876B66">
            <w:pPr>
              <w:jc w:val="center"/>
              <w:rPr>
                <w:rFonts w:hint="eastAsia" w:ascii="宋体" w:hAnsi="宋体" w:eastAsia="宋体" w:cs="宋体"/>
                <w:i w:val="0"/>
                <w:iCs w:val="0"/>
                <w:color w:val="000000"/>
                <w:sz w:val="21"/>
                <w:szCs w:val="21"/>
                <w:u w:val="none"/>
              </w:rPr>
            </w:pPr>
          </w:p>
        </w:tc>
        <w:tc>
          <w:tcPr>
            <w:tcW w:w="292" w:type="pct"/>
            <w:vMerge w:val="continue"/>
            <w:shd w:val="clear" w:color="auto" w:fill="auto"/>
            <w:vAlign w:val="center"/>
          </w:tcPr>
          <w:p w14:paraId="60D55BED">
            <w:pPr>
              <w:jc w:val="center"/>
              <w:rPr>
                <w:rFonts w:hint="eastAsia" w:ascii="宋体" w:hAnsi="宋体" w:eastAsia="宋体" w:cs="宋体"/>
                <w:i w:val="0"/>
                <w:iCs w:val="0"/>
                <w:color w:val="000000"/>
                <w:sz w:val="21"/>
                <w:szCs w:val="21"/>
                <w:u w:val="none"/>
              </w:rPr>
            </w:pPr>
          </w:p>
        </w:tc>
        <w:tc>
          <w:tcPr>
            <w:tcW w:w="346" w:type="pct"/>
            <w:vMerge w:val="continue"/>
            <w:shd w:val="clear" w:color="auto" w:fill="auto"/>
            <w:vAlign w:val="center"/>
          </w:tcPr>
          <w:p w14:paraId="29BC6B75">
            <w:pPr>
              <w:jc w:val="center"/>
              <w:rPr>
                <w:rFonts w:hint="eastAsia" w:ascii="宋体" w:hAnsi="宋体" w:eastAsia="宋体" w:cs="宋体"/>
                <w:i w:val="0"/>
                <w:iCs w:val="0"/>
                <w:color w:val="000000"/>
                <w:sz w:val="21"/>
                <w:szCs w:val="21"/>
                <w:u w:val="none"/>
              </w:rPr>
            </w:pPr>
          </w:p>
        </w:tc>
        <w:tc>
          <w:tcPr>
            <w:tcW w:w="578" w:type="pct"/>
            <w:gridSpan w:val="2"/>
            <w:vMerge w:val="continue"/>
            <w:shd w:val="clear" w:color="auto" w:fill="auto"/>
            <w:vAlign w:val="center"/>
          </w:tcPr>
          <w:p w14:paraId="546EA787">
            <w:pPr>
              <w:jc w:val="center"/>
              <w:rPr>
                <w:rFonts w:hint="eastAsia" w:ascii="宋体" w:hAnsi="宋体" w:eastAsia="宋体" w:cs="宋体"/>
                <w:i w:val="0"/>
                <w:iCs w:val="0"/>
                <w:color w:val="000000"/>
                <w:sz w:val="21"/>
                <w:szCs w:val="21"/>
                <w:u w:val="none"/>
              </w:rPr>
            </w:pPr>
          </w:p>
        </w:tc>
        <w:tc>
          <w:tcPr>
            <w:tcW w:w="958" w:type="pct"/>
            <w:shd w:val="clear" w:color="auto" w:fill="auto"/>
            <w:vAlign w:val="center"/>
          </w:tcPr>
          <w:p w14:paraId="4F239F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3屋顶的绿化面积、太阳能板水平投影面积以及太阳辐射反射系数不小于 0.4的屋面面积合计达到75%,得4分。</w:t>
            </w:r>
          </w:p>
        </w:tc>
        <w:tc>
          <w:tcPr>
            <w:tcW w:w="328" w:type="pct"/>
            <w:vMerge w:val="continue"/>
            <w:shd w:val="clear" w:color="auto" w:fill="auto"/>
            <w:vAlign w:val="center"/>
          </w:tcPr>
          <w:p w14:paraId="3B0088C8">
            <w:pPr>
              <w:jc w:val="center"/>
              <w:rPr>
                <w:rFonts w:hint="eastAsia" w:ascii="宋体" w:hAnsi="宋体" w:eastAsia="宋体" w:cs="宋体"/>
                <w:i w:val="0"/>
                <w:iCs w:val="0"/>
                <w:color w:val="000000"/>
                <w:sz w:val="21"/>
                <w:szCs w:val="21"/>
                <w:u w:val="none"/>
              </w:rPr>
            </w:pPr>
          </w:p>
        </w:tc>
        <w:tc>
          <w:tcPr>
            <w:tcW w:w="310" w:type="pct"/>
            <w:vMerge w:val="continue"/>
            <w:shd w:val="clear" w:color="auto" w:fill="auto"/>
            <w:vAlign w:val="center"/>
          </w:tcPr>
          <w:p w14:paraId="39D45548">
            <w:pPr>
              <w:jc w:val="center"/>
              <w:rPr>
                <w:rFonts w:hint="eastAsia" w:ascii="宋体" w:hAnsi="宋体" w:eastAsia="宋体" w:cs="宋体"/>
                <w:i w:val="0"/>
                <w:iCs w:val="0"/>
                <w:color w:val="000000"/>
                <w:sz w:val="21"/>
                <w:szCs w:val="21"/>
                <w:u w:val="none"/>
              </w:rPr>
            </w:pPr>
          </w:p>
        </w:tc>
        <w:tc>
          <w:tcPr>
            <w:tcW w:w="246" w:type="pct"/>
            <w:shd w:val="clear" w:color="auto" w:fill="auto"/>
            <w:vAlign w:val="center"/>
          </w:tcPr>
          <w:p w14:paraId="7CE3F9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1DEA5C5D">
            <w:pPr>
              <w:rPr>
                <w:rFonts w:hint="eastAsia" w:ascii="等线" w:hAnsi="等线" w:eastAsia="等线" w:cs="等线"/>
                <w:i w:val="0"/>
                <w:iCs w:val="0"/>
                <w:color w:val="000000"/>
                <w:sz w:val="21"/>
                <w:szCs w:val="21"/>
                <w:u w:val="none"/>
              </w:rPr>
            </w:pPr>
          </w:p>
        </w:tc>
      </w:tr>
      <w:tr w14:paraId="6649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79" w:hRule="atLeast"/>
        </w:trPr>
        <w:tc>
          <w:tcPr>
            <w:tcW w:w="537" w:type="pct"/>
            <w:shd w:val="clear" w:color="auto" w:fill="auto"/>
            <w:vAlign w:val="center"/>
          </w:tcPr>
          <w:p w14:paraId="55C1F0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 提高与创新</w:t>
            </w:r>
          </w:p>
        </w:tc>
        <w:tc>
          <w:tcPr>
            <w:tcW w:w="292" w:type="pct"/>
            <w:shd w:val="clear" w:color="auto" w:fill="auto"/>
            <w:vAlign w:val="center"/>
          </w:tcPr>
          <w:p w14:paraId="5F33FF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加分项</w:t>
            </w:r>
          </w:p>
        </w:tc>
        <w:tc>
          <w:tcPr>
            <w:tcW w:w="346" w:type="pct"/>
            <w:shd w:val="clear" w:color="auto" w:fill="auto"/>
            <w:vAlign w:val="center"/>
          </w:tcPr>
          <w:p w14:paraId="653C6A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9.2.1</w:t>
            </w:r>
          </w:p>
        </w:tc>
        <w:tc>
          <w:tcPr>
            <w:tcW w:w="1536" w:type="pct"/>
            <w:gridSpan w:val="3"/>
            <w:shd w:val="clear" w:color="auto" w:fill="auto"/>
            <w:vAlign w:val="center"/>
          </w:tcPr>
          <w:p w14:paraId="672361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采取措施进一步降低建筑供暖空调系统的能耗，评价总分值为30 分。建筑供暖空调系统能耗比现行强制性工程建设规范《建筑节能与可再生能源利用通用规范》GB55015的规定降低20%，得10分；每再降低10％，再得5分，最高得30分。</w:t>
            </w:r>
          </w:p>
        </w:tc>
        <w:tc>
          <w:tcPr>
            <w:tcW w:w="328" w:type="pct"/>
            <w:shd w:val="clear" w:color="auto" w:fill="auto"/>
            <w:vAlign w:val="center"/>
          </w:tcPr>
          <w:p w14:paraId="39428B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暖通</w:t>
            </w:r>
          </w:p>
        </w:tc>
        <w:tc>
          <w:tcPr>
            <w:tcW w:w="310" w:type="pct"/>
            <w:shd w:val="clear" w:color="auto" w:fill="auto"/>
            <w:vAlign w:val="center"/>
          </w:tcPr>
          <w:p w14:paraId="686F1B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246" w:type="pct"/>
            <w:shd w:val="clear" w:color="auto" w:fill="auto"/>
            <w:vAlign w:val="center"/>
          </w:tcPr>
          <w:p w14:paraId="742843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4D3AE993">
            <w:pPr>
              <w:rPr>
                <w:rFonts w:hint="eastAsia" w:ascii="等线" w:hAnsi="等线" w:eastAsia="等线" w:cs="等线"/>
                <w:i w:val="0"/>
                <w:iCs w:val="0"/>
                <w:color w:val="000000"/>
                <w:sz w:val="21"/>
                <w:szCs w:val="21"/>
                <w:u w:val="none"/>
              </w:rPr>
            </w:pPr>
          </w:p>
        </w:tc>
      </w:tr>
      <w:tr w14:paraId="5DCA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537" w:type="pct"/>
            <w:shd w:val="clear" w:color="auto" w:fill="auto"/>
            <w:vAlign w:val="center"/>
          </w:tcPr>
          <w:p w14:paraId="2509AC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 提高与创新</w:t>
            </w:r>
          </w:p>
        </w:tc>
        <w:tc>
          <w:tcPr>
            <w:tcW w:w="292" w:type="pct"/>
            <w:shd w:val="clear" w:color="auto" w:fill="auto"/>
            <w:vAlign w:val="center"/>
          </w:tcPr>
          <w:p w14:paraId="639405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加分项</w:t>
            </w:r>
          </w:p>
        </w:tc>
        <w:tc>
          <w:tcPr>
            <w:tcW w:w="346" w:type="pct"/>
            <w:shd w:val="clear" w:color="auto" w:fill="auto"/>
            <w:vAlign w:val="center"/>
          </w:tcPr>
          <w:p w14:paraId="040562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9.2.2</w:t>
            </w:r>
          </w:p>
        </w:tc>
        <w:tc>
          <w:tcPr>
            <w:tcW w:w="1536" w:type="pct"/>
            <w:gridSpan w:val="3"/>
            <w:shd w:val="clear" w:color="auto" w:fill="auto"/>
            <w:vAlign w:val="center"/>
          </w:tcPr>
          <w:p w14:paraId="1760BB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因地制宜建设绿色建筑，评价总分值为30分，并按下列规则分别评分并累计：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1传承建筑文化，采用适宜地区特色的建筑风貌设计，得15分；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2适应自然环境，充分利用气候适应性和场地属性进行设计，得7分；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3利用既有资源，合理利用废弃场地或充分利用旧建筑，得8分。</w:t>
            </w:r>
          </w:p>
        </w:tc>
        <w:tc>
          <w:tcPr>
            <w:tcW w:w="328" w:type="pct"/>
            <w:shd w:val="clear" w:color="auto" w:fill="auto"/>
            <w:vAlign w:val="center"/>
          </w:tcPr>
          <w:p w14:paraId="515329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6564CE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246" w:type="pct"/>
            <w:shd w:val="clear" w:color="auto" w:fill="auto"/>
            <w:vAlign w:val="center"/>
          </w:tcPr>
          <w:p w14:paraId="7B6611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2A95CBC0">
            <w:pPr>
              <w:rPr>
                <w:rFonts w:hint="eastAsia" w:ascii="等线" w:hAnsi="等线" w:eastAsia="等线" w:cs="等线"/>
                <w:i w:val="0"/>
                <w:iCs w:val="0"/>
                <w:color w:val="000000"/>
                <w:sz w:val="21"/>
                <w:szCs w:val="21"/>
                <w:u w:val="none"/>
              </w:rPr>
            </w:pPr>
          </w:p>
        </w:tc>
      </w:tr>
      <w:tr w14:paraId="6374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37" w:type="pct"/>
            <w:shd w:val="clear" w:color="auto" w:fill="auto"/>
            <w:vAlign w:val="center"/>
          </w:tcPr>
          <w:p w14:paraId="7F9733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 提高与创新</w:t>
            </w:r>
          </w:p>
        </w:tc>
        <w:tc>
          <w:tcPr>
            <w:tcW w:w="292" w:type="pct"/>
            <w:shd w:val="clear" w:color="auto" w:fill="auto"/>
            <w:vAlign w:val="center"/>
          </w:tcPr>
          <w:p w14:paraId="573A72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加分项</w:t>
            </w:r>
          </w:p>
        </w:tc>
        <w:tc>
          <w:tcPr>
            <w:tcW w:w="346" w:type="pct"/>
            <w:shd w:val="clear" w:color="auto" w:fill="auto"/>
            <w:vAlign w:val="center"/>
          </w:tcPr>
          <w:p w14:paraId="1812CC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9.2.3</w:t>
            </w:r>
          </w:p>
        </w:tc>
        <w:tc>
          <w:tcPr>
            <w:tcW w:w="1536" w:type="pct"/>
            <w:gridSpan w:val="3"/>
            <w:shd w:val="clear" w:color="auto" w:fill="auto"/>
            <w:vAlign w:val="center"/>
          </w:tcPr>
          <w:p w14:paraId="0277F2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采用蓄冷蓄热蓄电、建筑设备智能调节等技术实现建筑电力交互，评价总分值为20分。用电负荷调节比例达到5%,得5分；每再增加1%,再得1分，最高得20分。</w:t>
            </w:r>
          </w:p>
        </w:tc>
        <w:tc>
          <w:tcPr>
            <w:tcW w:w="328" w:type="pct"/>
            <w:shd w:val="clear" w:color="auto" w:fill="auto"/>
            <w:vAlign w:val="center"/>
          </w:tcPr>
          <w:p w14:paraId="32C77B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w:t>
            </w:r>
          </w:p>
        </w:tc>
        <w:tc>
          <w:tcPr>
            <w:tcW w:w="310" w:type="pct"/>
            <w:shd w:val="clear" w:color="auto" w:fill="auto"/>
            <w:vAlign w:val="center"/>
          </w:tcPr>
          <w:p w14:paraId="0C8C98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46" w:type="pct"/>
            <w:shd w:val="clear" w:color="auto" w:fill="auto"/>
            <w:vAlign w:val="center"/>
          </w:tcPr>
          <w:p w14:paraId="0CD79D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278F634C">
            <w:pPr>
              <w:rPr>
                <w:rFonts w:hint="eastAsia" w:ascii="等线" w:hAnsi="等线" w:eastAsia="等线" w:cs="等线"/>
                <w:i w:val="0"/>
                <w:iCs w:val="0"/>
                <w:color w:val="000000"/>
                <w:sz w:val="21"/>
                <w:szCs w:val="21"/>
                <w:u w:val="none"/>
              </w:rPr>
            </w:pPr>
          </w:p>
        </w:tc>
      </w:tr>
      <w:tr w14:paraId="33BD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trPr>
        <w:tc>
          <w:tcPr>
            <w:tcW w:w="537" w:type="pct"/>
            <w:shd w:val="clear" w:color="auto" w:fill="auto"/>
            <w:vAlign w:val="center"/>
          </w:tcPr>
          <w:p w14:paraId="503B8E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 提高与创新</w:t>
            </w:r>
          </w:p>
        </w:tc>
        <w:tc>
          <w:tcPr>
            <w:tcW w:w="292" w:type="pct"/>
            <w:shd w:val="clear" w:color="auto" w:fill="auto"/>
            <w:vAlign w:val="center"/>
          </w:tcPr>
          <w:p w14:paraId="20815B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加分项</w:t>
            </w:r>
          </w:p>
        </w:tc>
        <w:tc>
          <w:tcPr>
            <w:tcW w:w="346" w:type="pct"/>
            <w:shd w:val="clear" w:color="auto" w:fill="auto"/>
            <w:vAlign w:val="center"/>
          </w:tcPr>
          <w:p w14:paraId="52E7E2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9.2.4</w:t>
            </w:r>
          </w:p>
        </w:tc>
        <w:tc>
          <w:tcPr>
            <w:tcW w:w="1536" w:type="pct"/>
            <w:gridSpan w:val="3"/>
            <w:shd w:val="clear" w:color="auto" w:fill="auto"/>
            <w:vAlign w:val="center"/>
          </w:tcPr>
          <w:p w14:paraId="60C126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采取措施提升场地绿容率，评价总分值为5分，并按下列规则评分：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1.场地绿容率计算值，不低于1.0,得1分；不低于2.0,得2分；不低于3.0,得3分。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2.场地绿容率实测值，不低于1.0,得2分；不低于2.0,得4分；不低于3.0,得5分。</w:t>
            </w:r>
          </w:p>
        </w:tc>
        <w:tc>
          <w:tcPr>
            <w:tcW w:w="328" w:type="pct"/>
            <w:shd w:val="clear" w:color="auto" w:fill="auto"/>
            <w:vAlign w:val="center"/>
          </w:tcPr>
          <w:p w14:paraId="79EBDF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6D445B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46" w:type="pct"/>
            <w:shd w:val="clear" w:color="auto" w:fill="auto"/>
            <w:vAlign w:val="center"/>
          </w:tcPr>
          <w:p w14:paraId="043C78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59F5936D">
            <w:pPr>
              <w:rPr>
                <w:rFonts w:hint="eastAsia" w:ascii="等线" w:hAnsi="等线" w:eastAsia="等线" w:cs="等线"/>
                <w:i w:val="0"/>
                <w:iCs w:val="0"/>
                <w:color w:val="000000"/>
                <w:sz w:val="21"/>
                <w:szCs w:val="21"/>
                <w:u w:val="none"/>
              </w:rPr>
            </w:pPr>
          </w:p>
        </w:tc>
      </w:tr>
      <w:tr w14:paraId="2F225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537" w:type="pct"/>
            <w:shd w:val="clear" w:color="auto" w:fill="auto"/>
            <w:vAlign w:val="center"/>
          </w:tcPr>
          <w:p w14:paraId="2B967F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 提高与创新</w:t>
            </w:r>
          </w:p>
        </w:tc>
        <w:tc>
          <w:tcPr>
            <w:tcW w:w="292" w:type="pct"/>
            <w:shd w:val="clear" w:color="auto" w:fill="auto"/>
            <w:vAlign w:val="center"/>
          </w:tcPr>
          <w:p w14:paraId="5264B9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加分项</w:t>
            </w:r>
          </w:p>
        </w:tc>
        <w:tc>
          <w:tcPr>
            <w:tcW w:w="346" w:type="pct"/>
            <w:shd w:val="clear" w:color="auto" w:fill="auto"/>
            <w:vAlign w:val="center"/>
          </w:tcPr>
          <w:p w14:paraId="1B376A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9.2.5</w:t>
            </w:r>
          </w:p>
        </w:tc>
        <w:tc>
          <w:tcPr>
            <w:tcW w:w="1536" w:type="pct"/>
            <w:gridSpan w:val="3"/>
            <w:shd w:val="clear" w:color="auto" w:fill="auto"/>
            <w:vAlign w:val="center"/>
          </w:tcPr>
          <w:p w14:paraId="6540DD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采用符合工业化建造要求的结构体系与建筑构件。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主体结构采用钢结构、木结构，得 10 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主体结构采用混凝土结构，地上部分预制构件应用混凝土体积占混凝土总体积的比例达到 35%，得5 分；达到 50%，得 10 分。</w:t>
            </w:r>
          </w:p>
        </w:tc>
        <w:tc>
          <w:tcPr>
            <w:tcW w:w="328" w:type="pct"/>
            <w:shd w:val="clear" w:color="auto" w:fill="auto"/>
            <w:vAlign w:val="center"/>
          </w:tcPr>
          <w:p w14:paraId="1A28CB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w:t>
            </w:r>
          </w:p>
        </w:tc>
        <w:tc>
          <w:tcPr>
            <w:tcW w:w="310" w:type="pct"/>
            <w:shd w:val="clear" w:color="auto" w:fill="auto"/>
            <w:vAlign w:val="center"/>
          </w:tcPr>
          <w:p w14:paraId="57D7C3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46" w:type="pct"/>
            <w:shd w:val="clear" w:color="auto" w:fill="auto"/>
            <w:vAlign w:val="center"/>
          </w:tcPr>
          <w:p w14:paraId="7D72F9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02B3CF93">
            <w:pPr>
              <w:rPr>
                <w:rFonts w:hint="eastAsia" w:ascii="等线" w:hAnsi="等线" w:eastAsia="等线" w:cs="等线"/>
                <w:i w:val="0"/>
                <w:iCs w:val="0"/>
                <w:color w:val="000000"/>
                <w:sz w:val="21"/>
                <w:szCs w:val="21"/>
                <w:u w:val="none"/>
              </w:rPr>
            </w:pPr>
          </w:p>
        </w:tc>
      </w:tr>
      <w:tr w14:paraId="3FB5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85" w:hRule="atLeast"/>
        </w:trPr>
        <w:tc>
          <w:tcPr>
            <w:tcW w:w="537" w:type="pct"/>
            <w:shd w:val="clear" w:color="auto" w:fill="auto"/>
            <w:vAlign w:val="center"/>
          </w:tcPr>
          <w:p w14:paraId="3013AD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 提高与创新</w:t>
            </w:r>
          </w:p>
        </w:tc>
        <w:tc>
          <w:tcPr>
            <w:tcW w:w="292" w:type="pct"/>
            <w:shd w:val="clear" w:color="auto" w:fill="auto"/>
            <w:vAlign w:val="center"/>
          </w:tcPr>
          <w:p w14:paraId="0562D2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加分项</w:t>
            </w:r>
          </w:p>
        </w:tc>
        <w:tc>
          <w:tcPr>
            <w:tcW w:w="346" w:type="pct"/>
            <w:shd w:val="clear" w:color="auto" w:fill="auto"/>
            <w:vAlign w:val="center"/>
          </w:tcPr>
          <w:p w14:paraId="784969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9.2.6</w:t>
            </w:r>
          </w:p>
        </w:tc>
        <w:tc>
          <w:tcPr>
            <w:tcW w:w="1536" w:type="pct"/>
            <w:gridSpan w:val="3"/>
            <w:shd w:val="clear" w:color="auto" w:fill="auto"/>
            <w:vAlign w:val="center"/>
          </w:tcPr>
          <w:p w14:paraId="2A7696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应用建筑信息模型（BIM）技术。</w:t>
            </w:r>
          </w:p>
        </w:tc>
        <w:tc>
          <w:tcPr>
            <w:tcW w:w="328" w:type="pct"/>
            <w:shd w:val="clear" w:color="auto" w:fill="auto"/>
            <w:vAlign w:val="center"/>
          </w:tcPr>
          <w:p w14:paraId="33E372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18C767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246" w:type="pct"/>
            <w:shd w:val="clear" w:color="auto" w:fill="auto"/>
            <w:vAlign w:val="center"/>
          </w:tcPr>
          <w:p w14:paraId="04A7AB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0A077103">
            <w:pPr>
              <w:rPr>
                <w:rFonts w:hint="eastAsia" w:ascii="等线" w:hAnsi="等线" w:eastAsia="等线" w:cs="等线"/>
                <w:i w:val="0"/>
                <w:iCs w:val="0"/>
                <w:color w:val="000000"/>
                <w:sz w:val="21"/>
                <w:szCs w:val="21"/>
                <w:u w:val="none"/>
              </w:rPr>
            </w:pPr>
          </w:p>
        </w:tc>
      </w:tr>
      <w:tr w14:paraId="534F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537" w:type="pct"/>
            <w:shd w:val="clear" w:color="auto" w:fill="auto"/>
            <w:vAlign w:val="center"/>
          </w:tcPr>
          <w:p w14:paraId="1CF3BA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 提高与创新</w:t>
            </w:r>
          </w:p>
        </w:tc>
        <w:tc>
          <w:tcPr>
            <w:tcW w:w="292" w:type="pct"/>
            <w:shd w:val="clear" w:color="auto" w:fill="auto"/>
            <w:vAlign w:val="center"/>
          </w:tcPr>
          <w:p w14:paraId="4FAACC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加分项</w:t>
            </w:r>
          </w:p>
        </w:tc>
        <w:tc>
          <w:tcPr>
            <w:tcW w:w="346" w:type="pct"/>
            <w:shd w:val="clear" w:color="auto" w:fill="auto"/>
            <w:vAlign w:val="center"/>
          </w:tcPr>
          <w:p w14:paraId="2DB455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9.2.7</w:t>
            </w:r>
          </w:p>
        </w:tc>
        <w:tc>
          <w:tcPr>
            <w:tcW w:w="1536" w:type="pct"/>
            <w:gridSpan w:val="3"/>
            <w:shd w:val="clear" w:color="auto" w:fill="auto"/>
            <w:vAlign w:val="center"/>
          </w:tcPr>
          <w:p w14:paraId="169EDA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采取措施降低建筑全寿命期碳排放强度，评价总分值为30分。降低10%,得10分；每再降低1%,再得1分，最高得30分。</w:t>
            </w:r>
          </w:p>
        </w:tc>
        <w:tc>
          <w:tcPr>
            <w:tcW w:w="328" w:type="pct"/>
            <w:shd w:val="clear" w:color="auto" w:fill="auto"/>
            <w:vAlign w:val="center"/>
          </w:tcPr>
          <w:p w14:paraId="4EB0E4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建筑物理</w:t>
            </w:r>
          </w:p>
        </w:tc>
        <w:tc>
          <w:tcPr>
            <w:tcW w:w="310" w:type="pct"/>
            <w:shd w:val="clear" w:color="auto" w:fill="auto"/>
            <w:vAlign w:val="center"/>
          </w:tcPr>
          <w:p w14:paraId="7C04B9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246" w:type="pct"/>
            <w:shd w:val="clear" w:color="auto" w:fill="auto"/>
            <w:vAlign w:val="center"/>
          </w:tcPr>
          <w:p w14:paraId="5DE39A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7349DB51">
            <w:pPr>
              <w:rPr>
                <w:rFonts w:hint="eastAsia" w:ascii="等线" w:hAnsi="等线" w:eastAsia="等线" w:cs="等线"/>
                <w:i w:val="0"/>
                <w:iCs w:val="0"/>
                <w:color w:val="000000"/>
                <w:sz w:val="21"/>
                <w:szCs w:val="21"/>
                <w:u w:val="none"/>
              </w:rPr>
            </w:pPr>
          </w:p>
        </w:tc>
      </w:tr>
      <w:tr w14:paraId="78EB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537" w:type="pct"/>
            <w:shd w:val="clear" w:color="auto" w:fill="auto"/>
            <w:vAlign w:val="center"/>
          </w:tcPr>
          <w:p w14:paraId="26A2A6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 提高与创新</w:t>
            </w:r>
          </w:p>
        </w:tc>
        <w:tc>
          <w:tcPr>
            <w:tcW w:w="292" w:type="pct"/>
            <w:shd w:val="clear" w:color="auto" w:fill="auto"/>
            <w:vAlign w:val="center"/>
          </w:tcPr>
          <w:p w14:paraId="350562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加分项</w:t>
            </w:r>
          </w:p>
        </w:tc>
        <w:tc>
          <w:tcPr>
            <w:tcW w:w="346" w:type="pct"/>
            <w:shd w:val="clear" w:color="auto" w:fill="auto"/>
            <w:vAlign w:val="center"/>
          </w:tcPr>
          <w:p w14:paraId="044096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9.2.8</w:t>
            </w:r>
          </w:p>
        </w:tc>
        <w:tc>
          <w:tcPr>
            <w:tcW w:w="1536" w:type="pct"/>
            <w:gridSpan w:val="3"/>
            <w:shd w:val="clear" w:color="auto" w:fill="auto"/>
            <w:vAlign w:val="center"/>
          </w:tcPr>
          <w:p w14:paraId="0BC8DD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按照绿色施工的要求进行施工和管理，评价总分值为20分</w:t>
            </w:r>
          </w:p>
        </w:tc>
        <w:tc>
          <w:tcPr>
            <w:tcW w:w="328" w:type="pct"/>
            <w:shd w:val="clear" w:color="auto" w:fill="auto"/>
            <w:vAlign w:val="center"/>
          </w:tcPr>
          <w:p w14:paraId="283861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施工</w:t>
            </w:r>
          </w:p>
        </w:tc>
        <w:tc>
          <w:tcPr>
            <w:tcW w:w="310" w:type="pct"/>
            <w:shd w:val="clear" w:color="auto" w:fill="auto"/>
            <w:vAlign w:val="center"/>
          </w:tcPr>
          <w:p w14:paraId="11587B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46" w:type="pct"/>
            <w:shd w:val="clear" w:color="auto" w:fill="auto"/>
            <w:vAlign w:val="center"/>
          </w:tcPr>
          <w:p w14:paraId="03D3A6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194E97BF">
            <w:pPr>
              <w:rPr>
                <w:rFonts w:hint="eastAsia" w:ascii="等线" w:hAnsi="等线" w:eastAsia="等线" w:cs="等线"/>
                <w:i w:val="0"/>
                <w:iCs w:val="0"/>
                <w:color w:val="000000"/>
                <w:sz w:val="21"/>
                <w:szCs w:val="21"/>
                <w:u w:val="none"/>
              </w:rPr>
            </w:pPr>
          </w:p>
        </w:tc>
      </w:tr>
      <w:tr w14:paraId="1C462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537" w:type="pct"/>
            <w:shd w:val="clear" w:color="auto" w:fill="auto"/>
            <w:vAlign w:val="center"/>
          </w:tcPr>
          <w:p w14:paraId="4BE3F1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 提高与创新</w:t>
            </w:r>
          </w:p>
        </w:tc>
        <w:tc>
          <w:tcPr>
            <w:tcW w:w="292" w:type="pct"/>
            <w:shd w:val="clear" w:color="auto" w:fill="auto"/>
            <w:vAlign w:val="center"/>
          </w:tcPr>
          <w:p w14:paraId="54BDF4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加分项</w:t>
            </w:r>
          </w:p>
        </w:tc>
        <w:tc>
          <w:tcPr>
            <w:tcW w:w="346" w:type="pct"/>
            <w:shd w:val="clear" w:color="auto" w:fill="auto"/>
            <w:vAlign w:val="center"/>
          </w:tcPr>
          <w:p w14:paraId="225650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9.2.9</w:t>
            </w:r>
          </w:p>
        </w:tc>
        <w:tc>
          <w:tcPr>
            <w:tcW w:w="1536" w:type="pct"/>
            <w:gridSpan w:val="3"/>
            <w:shd w:val="clear" w:color="auto" w:fill="auto"/>
            <w:vAlign w:val="center"/>
          </w:tcPr>
          <w:p w14:paraId="5DAFBC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采用建设工程质量潜在缺陷保险产品或绿色建筑性能保险产品，评价总分值为30分，并按下列规则分别评分并累计</w:t>
            </w:r>
          </w:p>
        </w:tc>
        <w:tc>
          <w:tcPr>
            <w:tcW w:w="328" w:type="pct"/>
            <w:shd w:val="clear" w:color="auto" w:fill="auto"/>
            <w:vAlign w:val="center"/>
          </w:tcPr>
          <w:p w14:paraId="31B09C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施工</w:t>
            </w:r>
          </w:p>
        </w:tc>
        <w:tc>
          <w:tcPr>
            <w:tcW w:w="310" w:type="pct"/>
            <w:shd w:val="clear" w:color="auto" w:fill="auto"/>
            <w:vAlign w:val="center"/>
          </w:tcPr>
          <w:p w14:paraId="225154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46" w:type="pct"/>
            <w:shd w:val="clear" w:color="auto" w:fill="auto"/>
            <w:vAlign w:val="center"/>
          </w:tcPr>
          <w:p w14:paraId="694550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vAlign w:val="center"/>
          </w:tcPr>
          <w:p w14:paraId="689249BF">
            <w:pPr>
              <w:rPr>
                <w:rFonts w:hint="eastAsia" w:ascii="等线" w:hAnsi="等线" w:eastAsia="等线" w:cs="等线"/>
                <w:i w:val="0"/>
                <w:iCs w:val="0"/>
                <w:color w:val="000000"/>
                <w:sz w:val="21"/>
                <w:szCs w:val="21"/>
                <w:u w:val="none"/>
              </w:rPr>
            </w:pPr>
          </w:p>
        </w:tc>
      </w:tr>
      <w:tr w14:paraId="6A22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537" w:type="pct"/>
            <w:shd w:val="clear" w:color="auto" w:fill="auto"/>
            <w:vAlign w:val="center"/>
          </w:tcPr>
          <w:p w14:paraId="794440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 提高与创新</w:t>
            </w:r>
          </w:p>
        </w:tc>
        <w:tc>
          <w:tcPr>
            <w:tcW w:w="292" w:type="pct"/>
            <w:shd w:val="clear" w:color="auto" w:fill="auto"/>
            <w:vAlign w:val="center"/>
          </w:tcPr>
          <w:p w14:paraId="0AF387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加分项</w:t>
            </w:r>
          </w:p>
        </w:tc>
        <w:tc>
          <w:tcPr>
            <w:tcW w:w="346" w:type="pct"/>
            <w:shd w:val="clear" w:color="auto" w:fill="auto"/>
            <w:vAlign w:val="center"/>
          </w:tcPr>
          <w:p w14:paraId="262FF7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9.2.10</w:t>
            </w:r>
          </w:p>
        </w:tc>
        <w:tc>
          <w:tcPr>
            <w:tcW w:w="1536" w:type="pct"/>
            <w:gridSpan w:val="3"/>
            <w:shd w:val="clear" w:color="auto" w:fill="auto"/>
            <w:vAlign w:val="center"/>
          </w:tcPr>
          <w:p w14:paraId="673F07E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采取节约能源资源、保护生态环境、降低碳排放、保障安全健康、智慧友好运行、传承历史文化等其他创新，并有明显效益，评价总分值为40分。每采取一项，得10分，最高得40分。</w:t>
            </w:r>
          </w:p>
        </w:tc>
        <w:tc>
          <w:tcPr>
            <w:tcW w:w="328" w:type="pct"/>
            <w:shd w:val="clear" w:color="auto" w:fill="auto"/>
            <w:vAlign w:val="center"/>
          </w:tcPr>
          <w:p w14:paraId="316786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w:t>
            </w:r>
          </w:p>
        </w:tc>
        <w:tc>
          <w:tcPr>
            <w:tcW w:w="310" w:type="pct"/>
            <w:shd w:val="clear" w:color="auto" w:fill="auto"/>
            <w:vAlign w:val="center"/>
          </w:tcPr>
          <w:p w14:paraId="68BC7A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246" w:type="pct"/>
            <w:shd w:val="clear" w:color="auto" w:fill="auto"/>
            <w:vAlign w:val="center"/>
          </w:tcPr>
          <w:p w14:paraId="00812A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400" w:type="pct"/>
            <w:shd w:val="clear" w:color="auto" w:fill="auto"/>
            <w:noWrap/>
            <w:vAlign w:val="center"/>
          </w:tcPr>
          <w:p w14:paraId="668A26CD">
            <w:pPr>
              <w:rPr>
                <w:rFonts w:hint="eastAsia" w:ascii="等线" w:hAnsi="等线" w:eastAsia="等线" w:cs="等线"/>
                <w:i w:val="0"/>
                <w:iCs w:val="0"/>
                <w:color w:val="000000"/>
                <w:sz w:val="21"/>
                <w:szCs w:val="21"/>
                <w:u w:val="none"/>
              </w:rPr>
            </w:pPr>
          </w:p>
        </w:tc>
      </w:tr>
    </w:tbl>
    <w:p w14:paraId="79FC35BE">
      <w:pPr>
        <w:rPr>
          <w:rFonts w:ascii="Times New Roman"/>
          <w:sz w:val="20"/>
        </w:rPr>
      </w:pPr>
    </w:p>
    <w:sectPr>
      <w:pgSz w:w="16840" w:h="11910" w:orient="landscape"/>
      <w:pgMar w:top="1680" w:right="1580" w:bottom="1680" w:left="1380" w:header="720" w:footer="720"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011C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4C698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4C698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WU4ZjFmZDQzZTExMTg2MTk0OWFlODAyMDVmYWZhYzQifQ=="/>
  </w:docVars>
  <w:rsids>
    <w:rsidRoot w:val="0095443B"/>
    <w:rsid w:val="005F7841"/>
    <w:rsid w:val="0095443B"/>
    <w:rsid w:val="00A32744"/>
    <w:rsid w:val="1DCA6F81"/>
    <w:rsid w:val="1E537A62"/>
    <w:rsid w:val="246B7754"/>
    <w:rsid w:val="29914906"/>
    <w:rsid w:val="2C6D3474"/>
    <w:rsid w:val="308B14AA"/>
    <w:rsid w:val="32407979"/>
    <w:rsid w:val="381C38B8"/>
    <w:rsid w:val="397F500E"/>
    <w:rsid w:val="3C1A35F7"/>
    <w:rsid w:val="3E4E12AE"/>
    <w:rsid w:val="3E9F6993"/>
    <w:rsid w:val="53724631"/>
    <w:rsid w:val="56F00DD8"/>
    <w:rsid w:val="5CAA105C"/>
    <w:rsid w:val="63E74EC1"/>
    <w:rsid w:val="69185E2E"/>
    <w:rsid w:val="71CA0BC0"/>
    <w:rsid w:val="74015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heme="minorHAnsi" w:hAnsiTheme="minorHAnsi" w:eastAsiaTheme="minorEastAsia" w:cstheme="minorBidi"/>
      <w:sz w:val="22"/>
      <w:szCs w:val="22"/>
      <w:lang w:val="en-US" w:eastAsia="en-US"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1"/>
    <w:autoRedefine/>
    <w:unhideWhenUsed/>
    <w:qFormat/>
    <w:uiPriority w:val="99"/>
    <w:pPr>
      <w:tabs>
        <w:tab w:val="center" w:pos="4153"/>
        <w:tab w:val="right" w:pos="8306"/>
      </w:tabs>
      <w:snapToGrid w:val="0"/>
    </w:pPr>
    <w:rPr>
      <w:sz w:val="18"/>
      <w:szCs w:val="18"/>
    </w:rPr>
  </w:style>
  <w:style w:type="paragraph" w:styleId="3">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autoRedefine/>
    <w:qFormat/>
    <w:uiPriority w:val="10"/>
    <w:pPr>
      <w:spacing w:before="70"/>
      <w:ind w:left="1568" w:right="1603"/>
      <w:jc w:val="center"/>
    </w:pPr>
    <w:rPr>
      <w:rFonts w:ascii="Times New Roman" w:hAnsi="Times New Roman" w:eastAsia="Times New Roman" w:cs="Times New Roman"/>
      <w:b/>
      <w:bCs/>
      <w:i/>
      <w:iCs/>
    </w:rPr>
  </w:style>
  <w:style w:type="table" w:customStyle="1" w:styleId="7">
    <w:name w:val="Table Normal"/>
    <w:autoRedefine/>
    <w:semiHidden/>
    <w:unhideWhenUsed/>
    <w:qFormat/>
    <w:uiPriority w:val="2"/>
    <w:tblPr>
      <w:tblCellMar>
        <w:top w:w="0" w:type="dxa"/>
        <w:left w:w="0" w:type="dxa"/>
        <w:bottom w:w="0" w:type="dxa"/>
        <w:right w:w="0" w:type="dxa"/>
      </w:tblCellMar>
    </w:tblPr>
  </w:style>
  <w:style w:type="paragraph" w:styleId="8">
    <w:name w:val="List Paragraph"/>
    <w:basedOn w:val="1"/>
    <w:autoRedefine/>
    <w:qFormat/>
    <w:uiPriority w:val="1"/>
  </w:style>
  <w:style w:type="paragraph" w:customStyle="1" w:styleId="9">
    <w:name w:val="Table Paragraph"/>
    <w:basedOn w:val="1"/>
    <w:autoRedefine/>
    <w:qFormat/>
    <w:uiPriority w:val="1"/>
    <w:rPr>
      <w:rFonts w:ascii="宋体" w:hAnsi="宋体" w:eastAsia="宋体" w:cs="宋体"/>
    </w:rPr>
  </w:style>
  <w:style w:type="character" w:customStyle="1" w:styleId="10">
    <w:name w:val="页眉 字符"/>
    <w:basedOn w:val="6"/>
    <w:link w:val="3"/>
    <w:autoRedefine/>
    <w:qFormat/>
    <w:uiPriority w:val="99"/>
    <w:rPr>
      <w:sz w:val="18"/>
      <w:szCs w:val="18"/>
    </w:rPr>
  </w:style>
  <w:style w:type="character" w:customStyle="1" w:styleId="11">
    <w:name w:val="页脚 字符"/>
    <w:basedOn w:val="6"/>
    <w:link w:val="2"/>
    <w:autoRedefine/>
    <w:qFormat/>
    <w:uiPriority w:val="99"/>
    <w:rPr>
      <w:sz w:val="18"/>
      <w:szCs w:val="18"/>
    </w:rPr>
  </w:style>
  <w:style w:type="character" w:customStyle="1" w:styleId="12">
    <w:name w:val="font51"/>
    <w:basedOn w:val="6"/>
    <w:uiPriority w:val="0"/>
    <w:rPr>
      <w:rFonts w:hint="eastAsia" w:ascii="宋体" w:hAnsi="宋体" w:eastAsia="宋体" w:cs="宋体"/>
      <w:color w:val="000000"/>
      <w:sz w:val="16"/>
      <w:szCs w:val="16"/>
      <w:u w:val="none"/>
    </w:rPr>
  </w:style>
  <w:style w:type="character" w:customStyle="1" w:styleId="13">
    <w:name w:val="font61"/>
    <w:basedOn w:val="6"/>
    <w:uiPriority w:val="0"/>
    <w:rPr>
      <w:rFonts w:hint="default" w:ascii="Times New Roman" w:hAnsi="Times New Roman" w:cs="Times New Roman"/>
      <w:color w:val="000000"/>
      <w:sz w:val="16"/>
      <w:szCs w:val="1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919</Words>
  <Characters>1052</Characters>
  <Lines>176</Lines>
  <Paragraphs>49</Paragraphs>
  <TotalTime>9</TotalTime>
  <ScaleCrop>false</ScaleCrop>
  <LinksUpToDate>false</LinksUpToDate>
  <CharactersWithSpaces>1243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2022-07-29T06:53:00Z</dcterms:created>
  <dc:creator>zhangl</dc:creator>
  <cp:lastModifiedBy>WPS_1645691328</cp:lastModifiedBy>
  <dcterms:modified xsi:type="dcterms:W3CDTF">2026-08-07T07:10:46Z</dcterms:modified>
  <dc:title>Microsoft Word - ç»¿è›²å»ºç?‚è⁄ªè¯—è¡¨.docx</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2022-07-18T00:00:00Z</vt:filetime>
  </property>
  <property fmtid="{D5CDD505-2E9C-101B-9397-08002B2CF9AE}" pid="3" name="LastSaved">
    <vt:filetime>2022-07-29T00:00:00Z</vt:filetime>
  </property>
  <property fmtid="{D5CDD505-2E9C-101B-9397-08002B2CF9AE}" pid="4" name="KSOProductBuildVer">
    <vt:lpwstr>2052-12.1.0.28043</vt:lpwstr>
  </property>
  <property fmtid="{D5CDD505-2E9C-101B-9397-08002B2CF9AE}" pid="5" name="ICV">
    <vt:lpwstr>A9842F30707C41A08DC81561A5CB5FB4</vt:lpwstr>
  </property>
  <property fmtid="{D5CDD505-2E9C-101B-9397-08002B2CF9AE}" pid="6" name="KSOTemplateDocerSaveRecord">
    <vt:lpwstr>eyJoZGlkIjoiOWU4ZjFmZDQzZTExMTg2MTk0OWFlODAyMDVmYWZhYzQiLCJ1c2VySWQiOiIxMzM0OTg2ODE3In0=</vt:lpwstr>
  </property>
</Properties>
</file>